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keepLines/>
        <w:widowControl/>
        <w:spacing w:after="60" w:before="160" w:line="240" w:lineRule="auto"/>
        <w:jc w:val="center"/>
      </w:pPr>
      <w:r>
        <w:rPr>
          <w:rFonts w:ascii="Aptos" w:hAnsi="Aptos" w:eastAsia="Aptos" w:cs="Aptos"/>
        </w:rPr>
        <w:drawing>
          <wp:inline xmlns:a="http://schemas.openxmlformats.org/drawingml/2006/main" xmlns:pic="http://schemas.openxmlformats.org/drawingml/2006/picture">
            <wp:extent cx="1234440" cy="1234440"/>
            <wp:docPr id="1" name="Picture 1" title="Qalice logo" descr="Qalice fox logo with a stylized quantum-mirror motif."/>
            <wp:cNvGraphicFramePr>
              <a:graphicFrameLocks noChangeAspect="1"/>
            </wp:cNvGraphicFramePr>
            <a:graphic>
              <a:graphicData uri="http://schemas.openxmlformats.org/drawingml/2006/picture">
                <pic:pic>
                  <pic:nvPicPr>
                    <pic:cNvPr id="0" name="image14.png"/>
                    <pic:cNvPicPr/>
                  </pic:nvPicPr>
                  <pic:blipFill>
                    <a:blip r:embed="rId11"/>
                    <a:stretch>
                      <a:fillRect/>
                    </a:stretch>
                  </pic:blipFill>
                  <pic:spPr>
                    <a:xfrm>
                      <a:off x="0" y="0"/>
                      <a:ext cx="1234440" cy="1234440"/>
                    </a:xfrm>
                    <a:prstGeom prst="rect"/>
                  </pic:spPr>
                </pic:pic>
              </a:graphicData>
            </a:graphic>
          </wp:inline>
        </w:drawing>
      </w:r>
    </w:p>
    <w:p>
      <w:pPr>
        <w:keepLines w:val="0"/>
        <w:widowControl/>
        <w:spacing w:after="80"/>
        <w:jc w:val="center"/>
      </w:pPr>
      <w:r>
        <w:rPr>
          <w:rFonts w:ascii="Aptos" w:hAnsi="Aptos" w:eastAsia="Aptos" w:cs="Aptos"/>
          <w:b/>
          <w:color w:val="171717"/>
          <w:sz w:val="70"/>
        </w:rPr>
        <w:t>QALICE</w:t>
      </w:r>
    </w:p>
    <w:p>
      <w:pPr>
        <w:pStyle w:val="Title"/>
        <w:keepLines w:val="0"/>
        <w:widowControl/>
        <w:jc w:val="center"/>
      </w:pPr>
      <w:r>
        <w:rPr>
          <w:rFonts w:ascii="Aptos Display" w:hAnsi="Aptos Display" w:eastAsia="Aptos Display" w:cs="Aptos Display"/>
        </w:rPr>
        <w:t>Quantum-Mirror Network Architecture</w:t>
      </w:r>
    </w:p>
    <w:p>
      <w:pPr>
        <w:pStyle w:val="Subtitle"/>
        <w:keepLines w:val="0"/>
        <w:widowControl/>
        <w:jc w:val="center"/>
      </w:pPr>
      <w:r>
        <w:rPr>
          <w:b w:val="0"/>
          <w:i w:val="0"/>
        </w:rPr>
        <w:t>Whitepaper | Quantum Communication, IBM Execution, Photonics, and Energy Architecture</w:t>
      </w:r>
    </w:p>
    <w:p>
      <w:pPr>
        <w:keepLines w:val="0"/>
        <w:widowControl/>
        <w:jc w:val="center"/>
      </w:pPr>
      <w:r>
        <w:rPr>
          <w:rFonts w:ascii="Aptos" w:hAnsi="Aptos" w:eastAsia="Aptos" w:cs="Aptos"/>
          <w:color w:val="F36C21"/>
          <w:sz w:val="22"/>
        </w:rPr>
        <w:t>━━━━━━━━━━━━━━━━━━━━━━━━━━━━</w:t>
      </w:r>
    </w:p>
    <w:tbl>
      <w:tblPr>
        <w:tblW w:type="auto" w:w="0"/>
        <w:jc w:val="center"/>
        <w:tblLayout w:type="fixed"/>
        <w:tblLook w:firstColumn="1" w:firstRow="1" w:lastColumn="0" w:lastRow="0" w:noHBand="0" w:noVBand="1" w:val="04A0"/>
      </w:tblPr>
      <w:tblGrid>
        <w:gridCol w:w="5083"/>
        <w:gridCol w:w="5083"/>
      </w:tblGrid>
      <w:tr>
        <w:trPr>
          <w:cantSplit/>
          <w:tblHeader/>
        </w:trPr>
        <w:tc>
          <w:tcPr>
            <w:tcW w:type="dxa" w:w="2664"/>
            <w:shd w:fill="F4F5F7"/>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Document status</w:t>
            </w:r>
          </w:p>
        </w:tc>
        <w:tc>
          <w:tcPr>
            <w:tcW w:type="dxa" w:w="6840"/>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b w:val="0"/>
                <w:i w:val="0"/>
              </w:rPr>
              <w:t>Conceptual research and engineering framework; pre-experimental</w:t>
            </w:r>
          </w:p>
        </w:tc>
      </w:tr>
      <w:tr>
        <w:trPr>
          <w:cantSplit/>
        </w:trPr>
        <w:tc>
          <w:tcPr>
            <w:tcW w:type="dxa" w:w="2664"/>
            <w:shd w:fill="F4F5F7"/>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Publication edition</w:t>
            </w:r>
          </w:p>
        </w:tc>
        <w:tc>
          <w:tcPr>
            <w:tcW w:type="dxa" w:w="6840"/>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b w:val="0"/>
                <w:i w:val="0"/>
              </w:rPr>
              <w:t>Technical whitepaper | 24 July 2026</w:t>
            </w:r>
          </w:p>
        </w:tc>
      </w:tr>
      <w:tr>
        <w:trPr>
          <w:cantSplit/>
        </w:trPr>
        <w:tc>
          <w:tcPr>
            <w:tcW w:type="dxa" w:w="2664"/>
            <w:shd w:fill="F4F5F7"/>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before="0" w:after="90" w:line="259" w:lineRule="auto"/>
            </w:pPr>
            <w:r>
              <w:rPr>
                <w:rFonts w:ascii="Aptos" w:hAnsi="Aptos" w:eastAsia="Aptos" w:cs="Aptos"/>
                <w:b/>
                <w:color w:val="171717"/>
                <w:sz w:val="18"/>
              </w:rPr>
              <w:t>Prepared by</w:t>
            </w:r>
          </w:p>
        </w:tc>
        <w:tc>
          <w:tcPr>
            <w:tcW w:type="dxa" w:w="6840"/>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before="0" w:line="259" w:lineRule="auto"/>
            </w:pPr>
            <w:r>
              <w:rPr>
                <w:rFonts w:ascii="Aptos" w:hAnsi="Aptos" w:eastAsia="Aptos" w:cs="Aptos"/>
                <w:sz w:val="18"/>
              </w:rPr>
              <w:t>Keaton McCune | Founder &amp; CTO, Qalice</w:t>
            </w:r>
          </w:p>
        </w:tc>
      </w:tr>
      <w:tr>
        <w:trPr>
          <w:cantSplit/>
        </w:trPr>
        <w:tc>
          <w:tcPr>
            <w:tcW w:type="dxa" w:w="2664"/>
            <w:shd w:fill="F4F5F7"/>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before="0" w:after="90" w:line="259" w:lineRule="auto"/>
            </w:pPr>
            <w:r>
              <w:rPr>
                <w:rFonts w:ascii="Aptos" w:hAnsi="Aptos" w:eastAsia="Aptos" w:cs="Aptos"/>
                <w:b/>
                <w:color w:val="171717"/>
                <w:sz w:val="18"/>
              </w:rPr>
              <w:t>Primary scientific reference</w:t>
            </w:r>
          </w:p>
        </w:tc>
        <w:tc>
          <w:tcPr>
            <w:tcW w:type="dxa" w:w="6840"/>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before="0" w:line="259" w:lineRule="auto"/>
            </w:pPr>
            <w:r>
              <w:rPr>
                <w:b w:val="0"/>
                <w:i w:val="0"/>
              </w:rPr>
              <w:t>Uria et al., “Alice and Bob through a quantum mirror” (2026 preprint)</w:t>
            </w:r>
          </w:p>
        </w:tc>
      </w:tr>
      <w:tr>
        <w:trPr>
          <w:cantSplit/>
        </w:trPr>
        <w:tc>
          <w:tcPr>
            <w:tcW w:type="dxa" w:w="2664"/>
            <w:shd w:fill="F4F5F7"/>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before="0" w:after="90" w:line="259" w:lineRule="auto"/>
            </w:pPr>
            <w:r>
              <w:rPr>
                <w:rFonts w:ascii="Aptos" w:hAnsi="Aptos" w:eastAsia="Aptos" w:cs="Aptos"/>
                <w:b/>
                <w:color w:val="171717"/>
                <w:sz w:val="18"/>
              </w:rPr>
              <w:t>Public project resources</w:t>
            </w:r>
          </w:p>
        </w:tc>
        <w:tc>
          <w:tcPr>
            <w:tcW w:type="dxa" w:w="6840"/>
            <w:tcMar>
              <w:top w:w="90" w:type="dxa"/>
              <w:bottom w:w="90" w:type="dxa"/>
              <w:left w:w="135" w:type="dxa"/>
              <w:right w:w="13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before="0" w:line="259" w:lineRule="auto"/>
            </w:pPr>
            <w:hyperlink r:id="rId13">
              <w:r>
                <w:rPr>
                  <w:color w:val="1F4E79"/>
                  <w:u w:val="single"/>
                </w:rPr>
                <w:t>qalice.com</w:t>
              </w:r>
            </w:hyperlink>
            <w:r>
              <w:rPr>
                <w:rFonts w:ascii="Aptos" w:hAnsi="Aptos" w:eastAsia="Aptos" w:cs="Aptos"/>
                <w:color w:val="555555"/>
                <w:sz w:val="18"/>
              </w:rPr>
              <w:t xml:space="preserve">  |  </w:t>
            </w:r>
            <w:hyperlink r:id="rId14">
              <w:r>
                <w:rPr>
                  <w:color w:val="1F4E79"/>
                  <w:u w:val="single"/>
                </w:rPr>
                <w:t>Qalice documentation</w:t>
              </w:r>
            </w:hyperlink>
          </w:p>
        </w:tc>
      </w:tr>
    </w:tbl>
    <w:p>
      <w:pPr>
        <w:keepLines w:val="0"/>
        <w:widowControl/>
        <w:spacing w:before="280" w:after="80"/>
        <w:jc w:val="center"/>
      </w:pPr>
      <w:r>
        <w:rPr>
          <w:b w:val="0"/>
          <w:i w:val="0"/>
        </w:rPr>
        <w:t>Technical status</w:t>
      </w:r>
    </w:p>
    <w:p>
      <w:pPr>
        <w:keepLines w:val="0"/>
        <w:widowControl/>
        <w:spacing w:after="0"/>
        <w:ind w:left="936" w:right="936"/>
        <w:jc w:val="center"/>
      </w:pPr>
      <w:r>
        <w:rPr>
          <w:b w:val="0"/>
          <w:i w:val="0"/>
        </w:rPr>
        <w:t>Qalice is a conceptual, pre-experimental research and engineering framework. The project has not yet demonstrated a fabricated physical quantum mirror, quantum teleportation, or a deployed quantum network. Results drawn from published literature and preprints are identified as external results. Qalice-specific architecture, simulation methods, integration choices, and validation plans are presented as proposed work.</w:t>
      </w:r>
    </w:p>
    <w:p>
      <w:pPr>
        <w:widowControl/>
        <w:spacing w:before="0" w:after="80" w:line="20" w:lineRule="exact"/>
      </w:pPr>
      <w:r>
        <w:rPr>
          <w:rFonts w:ascii="Aptos" w:hAnsi="Aptos" w:eastAsia="Aptos" w:cs="Aptos"/>
          <w:sz w:val="2"/>
        </w:rPr>
        <w:br w:type="page"/>
      </w:r>
    </w:p>
    <w:p>
      <w:pPr>
        <w:pStyle w:val="Heading1"/>
        <w:keepNext/>
        <w:keepLines/>
        <w:widowControl/>
      </w:pPr>
      <w:r>
        <w:rPr>
          <w:b w:val="0"/>
          <w:i w:val="0"/>
        </w:rPr>
        <w:t>Abstract</w:t>
      </w:r>
    </w:p>
    <w:p>
      <w:pPr>
        <w:keepLines w:val="0"/>
        <w:widowControl/>
        <w:spacing w:after="150" w:line="276" w:lineRule="auto"/>
      </w:pPr>
      <w:r>
        <w:rPr>
          <w:b w:val="0"/>
          <w:i w:val="0"/>
        </w:rPr>
        <w:t>Qalice defines a modular architecture for modeling, controlling, and evaluating quantum-mirror nodes in quantum networks. The framework is grounded in recent work on quantum-controlled optical scattering, in which a control qubit determines whether incident optical modes are transmitted or reflected. Qalice extends that scientific basis into an implementation-neutral systems model that combines node abstractions, optical and classical interfaces, channel and detector models, calibration workflows, a server-side IBM Quantum execution path for gate-model reference experiments, and a staged validation program. A separately bounded Astro Qalice research direction evaluates classical laser power beaming as a future energy-logistics layer for space exploration and resource operations.</w:t>
      </w:r>
    </w:p>
    <w:p>
      <w:pPr>
        <w:widowControl/>
      </w:pPr>
      <w:r>
        <w:t>Because the underlying hardware remains experimental, this whitepaper distinguishes cited scientific results from Qalice-specific proposals and defines the evidence required before claims concerning performance, security, distance, or deployment can be supported.</w:t>
      </w:r>
    </w:p>
    <w:tbl>
      <w:tblPr>
        <w:tblW w:type="auto" w:w="0"/>
        <w:jc w:val="center"/>
        <w:tblLayout w:type="fixed"/>
        <w:tblLook w:firstColumn="1" w:firstRow="1" w:lastColumn="0" w:lastRow="0" w:noHBand="0" w:noVBand="1" w:val="04A0"/>
      </w:tblPr>
      <w:tblGrid>
        <w:gridCol w:w="10166"/>
      </w:tblGrid>
      <w:tr>
        <w:trPr>
          <w:cantSplit/>
          <w:tblHeader/>
        </w:trPr>
        <w:tc>
          <w:tcPr>
            <w:tcW w:type="dxa" w:w="10166"/>
            <w:shd w:fill="FFF1E8"/>
            <w:tcMar>
              <w:top w:w="90" w:type="dxa"/>
              <w:bottom w:w="90" w:type="dxa"/>
              <w:left w:w="135" w:type="dxa"/>
              <w:right w:w="135" w:type="dxa"/>
              <w:start w:w="105" w:type="dxa"/>
              <w:end w:w="105" w:type="dxa"/>
            </w:tcMar>
            <w:tcBorders>
              <w:top w:val="single" w:sz="8" w:color="F36C21"/>
              <w:left w:val="single" w:sz="18" w:color="F36C21"/>
              <w:bottom w:val="single" w:sz="8" w:color="F36C21"/>
              <w:right w:val="single" w:sz="8" w:color="F36C21"/>
            </w:tcBorders>
            <w:vAlign w:val="center"/>
          </w:tcPr>
          <w:p>
            <w:pPr>
              <w:widowControl/>
              <w:spacing w:after="0" w:line="259" w:lineRule="auto"/>
            </w:pPr>
            <w:r>
              <w:rPr>
                <w:b/>
                <w:color w:val="F36C21"/>
              </w:rPr>
              <w:t>Scope and evidence status</w:t>
            </w:r>
            <w:r>
              <w:rPr/>
              <w:t xml:space="preserve"> | This document presents a research architecture and validation framework. It does not report a completed quantum-mirror network, original experimental data, or independently replicated performance results.</w:t>
            </w:r>
          </w:p>
        </w:tc>
      </w:tr>
    </w:tbl>
    <w:p>
      <w:pPr>
        <w:widowControl/>
        <w:spacing w:after="80" w:before="0" w:line="20" w:lineRule="exact"/>
      </w:pPr>
      <w:r>
        <w:rPr>
          <w:rFonts w:ascii="Aptos" w:hAnsi="Aptos" w:eastAsia="Aptos" w:cs="Aptos"/>
          <w:sz w:val="2"/>
        </w:rPr>
      </w:r>
    </w:p>
    <w:p>
      <w:pPr>
        <w:pStyle w:val="Heading1"/>
        <w:keepNext/>
        <w:keepLines/>
        <w:widowControl/>
      </w:pPr>
      <w:r>
        <w:rPr>
          <w:rFonts w:ascii="Aptos Display" w:hAnsi="Aptos Display" w:eastAsia="Aptos Display" w:cs="Aptos Display"/>
        </w:rPr>
        <w:t>Contents</w:t>
      </w:r>
    </w:p>
    <w:tbl>
      <w:tblPr>
        <w:tblW w:type="auto" w:w="0"/>
        <w:jc w:val="center"/>
        <w:tblLayout w:type="fixed"/>
        <w:tblLook w:firstColumn="1" w:firstRow="1" w:lastColumn="0" w:lastRow="0" w:noHBand="0" w:noVBand="1" w:val="04A0"/>
      </w:tblPr>
      <w:tblGrid>
        <w:gridCol w:w="5083"/>
        <w:gridCol w:w="5083"/>
      </w:tblGrid>
      <w:tr>
        <w:trPr>
          <w:cantSplit/>
          <w:tblHeader/>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1</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Executive Summary</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2</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Pr>
                <w:b w:val="0"/>
                <w:i w:val="0"/>
              </w:rPr>
              <w:t>Scientific Foundations and Prior Art</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3</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Proposed Qalice Architecture</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4</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Protocol and Performance Model</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5</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Assumptions, Risks, and Limitations</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6</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Pr>
                <w:b w:val="0"/>
                <w:i w:val="0"/>
              </w:rPr>
              <w:t>Research and Validation Roadmap</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7</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Pr>
                <w:b w:val="0"/>
                <w:i w:val="0"/>
              </w:rPr>
              <w:t>Research Applications and Development Boundaries</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8</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Implementation Architecture and IBM Quantum Integration</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9</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Astro Qalice: Laser and Photonic Energy Infrastructure</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10</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Conclusion</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Appendix A</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Pr>
                <w:b w:val="0"/>
                <w:i w:val="0"/>
              </w:rPr>
              <w:t>Symbols, Metrics, and Reporting Checklist</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Appendix B</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Mathematical Reference Model</w:t>
            </w:r>
          </w:p>
        </w:tc>
      </w:tr>
      <w:tr>
        <w:trPr>
          <w:cantSplit/>
        </w:trPr>
        <w:tc>
          <w:tcPr>
            <w:tcW w:type="dxa" w:w="1440"/>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References</w:t>
            </w:r>
          </w:p>
        </w:tc>
        <w:tc>
          <w:tcPr>
            <w:tcW w:type="dxa" w:w="8208"/>
            <w:tcMar>
              <w:top w:w="90" w:type="dxa"/>
              <w:bottom w:w="90" w:type="dxa"/>
              <w:left w:w="135" w:type="dxa"/>
              <w:right w:w="135" w:type="dxa"/>
              <w:start w:w="105" w:type="dxa"/>
              <w:end w:w="105" w:type="dxa"/>
            </w:tcMar>
            <w:tcBorders>
              <w:bottom w:val="single" w:sz="3" w:color="D9DDE3"/>
            </w:tcBorders>
            <w:vAlign w:val="center"/>
          </w:tcPr>
          <w:p>
            <w:pPr>
              <w:widowControl/>
              <w:spacing w:after="90" w:line="259" w:lineRule="auto"/>
            </w:pPr>
            <w:r/>
            <w:r>
              <w:t>Selected Technical References</w:t>
            </w:r>
          </w:p>
        </w:tc>
      </w:tr>
    </w:tbl>
    <w:p>
      <w:pPr>
        <w:widowControl/>
        <w:spacing w:before="0" w:after="80" w:line="20" w:lineRule="exact"/>
      </w:pPr>
      <w:r>
        <w:rPr>
          <w:rFonts w:ascii="Aptos" w:hAnsi="Aptos" w:eastAsia="Aptos" w:cs="Aptos"/>
          <w:sz w:val="2"/>
        </w:rPr>
        <w:br w:type="page"/>
      </w:r>
    </w:p>
    <w:p>
      <w:pPr>
        <w:pStyle w:val="Heading1"/>
        <w:keepNext/>
        <w:keepLines/>
        <w:widowControl/>
      </w:pPr>
      <w:r>
        <w:rPr>
          <w:b w:val="0"/>
          <w:i w:val="0"/>
        </w:rPr>
        <w:t>1. Executive Summary</w:t>
      </w:r>
    </w:p>
    <w:p>
      <w:pPr>
        <w:keepLines w:val="0"/>
        <w:widowControl/>
        <w:spacing w:after="150" w:line="276" w:lineRule="auto"/>
      </w:pPr>
      <w:r>
        <w:rPr>
          <w:b w:val="0"/>
          <w:i w:val="0"/>
        </w:rPr>
        <w:t>Qalice proposes a modular control, simulation, and systems integration architecture for networks that use physical quantum mirrors as nodes. In the 2026 preprint by Uria et al. [1], a quantum mirror is a quantum-controlled optical scatterer rather than a conventional reflective cavity: its transmission and reflection depend on the state of a control qubit. Two propagating coherent-state modes mediate interactions between remote control qubits, supporting theoretical protocols for quantum teleportation, quantum state transfer, and entanglement swapping.</w:t>
      </w:r>
    </w:p>
    <w:p>
      <w:pPr>
        <w:keepLines w:val="0"/>
        <w:widowControl/>
        <w:spacing w:after="150" w:line="276" w:lineRule="auto"/>
      </w:pPr>
      <w:r>
        <w:rPr>
          <w:b w:val="0"/>
          <w:i w:val="0"/>
        </w:rPr>
        <w:t>Qalice contributes an engineering framework around this physical model. It defines implementation-neutral node roles, optical and classical interfaces, synchronization and calibration workflows, nonideal channel models, simulation tools, and a staged route from numerical reproduction to laboratory validation.</w:t>
      </w:r>
    </w:p>
    <w:p>
      <w:pPr>
        <w:keepLines w:val="0"/>
        <w:widowControl/>
        <w:spacing w:after="150" w:line="276" w:lineRule="auto"/>
      </w:pPr>
      <w:r>
        <w:rPr>
          <w:b w:val="0"/>
          <w:i w:val="0"/>
        </w:rPr>
        <w:t>Throughout this whitepaper, “quantum mirror” refers to the conditional-scattering device defined in Section 2. Deformable mirrors are treated only as classical adaptive-optics components. Generic QED or Dirac equations are not used as evidence for system performance, and claims concerning teleportation, error correction, security, distance, or efficiency are limited to results supported by a defined model or cited source.</w:t>
      </w:r>
    </w:p>
    <w:p>
      <w:pPr>
        <w:pStyle w:val="Heading2"/>
        <w:keepNext/>
        <w:keepLines/>
        <w:widowControl/>
      </w:pPr>
      <w:r>
        <w:rPr>
          <w:b w:val="0"/>
          <w:i w:val="0"/>
        </w:rPr>
        <w:t>1.1 Technical maturity and evidence status</w:t>
      </w:r>
    </w:p>
    <w:tbl>
      <w:tblPr>
        <w:tblW w:type="auto" w:w="0"/>
        <w:jc w:val="center"/>
        <w:tblLayout w:type="fixed"/>
        <w:tblLook w:firstColumn="1" w:firstRow="1" w:lastColumn="0" w:lastRow="0" w:noHBand="0" w:noVBand="1" w:val="04A0"/>
      </w:tblPr>
      <w:tblGrid>
        <w:gridCol w:w="3389"/>
        <w:gridCol w:w="3389"/>
        <w:gridCol w:w="3389"/>
      </w:tblGrid>
      <w:tr>
        <w:trPr>
          <w:tblHeader w:val="true"/>
          <w:cantSplit/>
        </w:trPr>
        <w:tc>
          <w:tcPr>
            <w:tcW w:type="dxa" w:w="1800"/>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b w:val="0"/>
                <w:i w:val="0"/>
              </w:rPr>
              <w:t>Evidence category</w:t>
            </w:r>
          </w:p>
        </w:tc>
        <w:tc>
          <w:tcPr>
            <w:tcW w:type="dxa" w:w="4824"/>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b w:val="0"/>
                <w:i w:val="0"/>
              </w:rPr>
              <w:t>Current evidence basis</w:t>
            </w:r>
          </w:p>
        </w:tc>
        <w:tc>
          <w:tcPr>
            <w:tcW w:type="dxa" w:w="3024"/>
            <w:shd w:fill="171717"/>
            <w:tcMar>
              <w:top w:w="90" w:type="dxa"/>
              <w:bottom w:w="90" w:type="dxa"/>
              <w:left w:w="140" w:type="dxa"/>
              <w:right w:w="140" w:type="dxa"/>
              <w:start w:w="105" w:type="dxa"/>
              <w:end w:w="105" w:type="dxa"/>
            </w:tcMar>
            <w:vAlign w:val="center"/>
          </w:tcPr>
          <w:p>
            <w:pPr>
              <w:widowControl/>
              <w:spacing w:after="90" w:line="259" w:lineRule="auto"/>
            </w:pPr>
            <w:r>
              <w:rPr>
                <w:b w:val="0"/>
                <w:i w:val="0"/>
              </w:rPr>
              <w:t>Next validation step</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Established in cited literature</w:t>
            </w:r>
          </w:p>
        </w:tc>
        <w:tc>
          <w:tcPr>
            <w:tcW w:type="dxa" w:w="482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Quantum-controlled transmission and reflection in quantum-metasurface models; experimental switching of a subwavelength atomic array by a single Rydberg atom; theoretical QM protocols using coherent optical states.</w:t>
            </w:r>
          </w:p>
        </w:tc>
        <w:tc>
          <w:tcPr>
            <w:tcW w:type="dxa" w:w="302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Use cited definitions, assumptions, and equations as the scientific baseline.</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Defined by Qalice</w:t>
            </w:r>
          </w:p>
        </w:tc>
        <w:tc>
          <w:tcPr>
            <w:tcW w:type="dxa" w:w="482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Logical qTr, qRe, and qReTr roles; a control, simulation, and telemetry layer; candidate PIC routing; phase, mode, and wavefront stabilization; reproducible modeling and validation workflows.</w:t>
            </w:r>
          </w:p>
        </w:tc>
        <w:tc>
          <w:tcPr>
            <w:tcW w:type="dxa" w:w="302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pPr>
            <w:r>
              <w:rPr>
                <w:b w:val="0"/>
                <w:i w:val="0"/>
              </w:rPr>
              <w:t>Demonstrate through model reproduction, sensitivity analysis, interface definition, and hardware feasibility assessment.</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Not yet demonstrated by Qalice</w:t>
            </w:r>
          </w:p>
        </w:tc>
        <w:tc>
          <w:tcPr>
            <w:tcW w:type="dxa" w:w="482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A fabricated physical quantum mirror; experimental teleportation; a validated long-distance link; measured fidelity, rate, or security performance; commercial readiness.</w:t>
            </w:r>
          </w:p>
        </w:tc>
        <w:tc>
          <w:tcPr>
            <w:tcW w:type="dxa" w:w="302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Require independent measurement, documented methods, and uncertainty analysis.</w:t>
            </w:r>
          </w:p>
        </w:tc>
      </w:tr>
    </w:tbl>
    <w:p>
      <w:pPr>
        <w:widowControl/>
        <w:spacing w:after="80" w:before="0" w:line="20" w:lineRule="exact"/>
      </w:pPr>
      <w:r>
        <w:rPr>
          <w:rFonts w:ascii="Aptos" w:hAnsi="Aptos" w:eastAsia="Aptos" w:cs="Aptos"/>
          <w:sz w:val="2"/>
        </w:rPr>
      </w:r>
    </w:p>
    <w:p>
      <w:pPr>
        <w:pStyle w:val="Heading2"/>
        <w:keepNext/>
        <w:keepLines/>
        <w:widowControl/>
      </w:pPr>
      <w:r>
        <w:t>1.2 Core development objectives</w:t>
      </w:r>
    </w:p>
    <w:p>
      <w:pPr>
        <w:pStyle w:val="ListBullet"/>
        <w:keepNext/>
        <w:keepLines/>
        <w:widowControl/>
        <w:spacing w:after="90" w:line="264" w:lineRule="auto"/>
        <w:ind w:left="403" w:hanging="245"/>
      </w:pPr>
      <w:r>
        <w:t>Define the physical quantum-mirror model and notation consistently with the cited scientific literature.</w:t>
      </w:r>
    </w:p>
    <w:p>
      <w:pPr>
        <w:pStyle w:val="ListBullet"/>
        <w:keepNext/>
        <w:keepLines/>
        <w:widowControl/>
        <w:spacing w:after="90" w:line="264" w:lineRule="auto"/>
        <w:ind w:left="403" w:hanging="245"/>
      </w:pPr>
      <w:r>
        <w:t>Formalize the qTr, qRe, and qReTr logical roles as implementation-neutral node abstractions with explicit optical, quantum, and classical interfaces.</w:t>
      </w:r>
    </w:p>
    <w:p>
      <w:pPr>
        <w:pStyle w:val="ListBullet"/>
        <w:keepNext/>
        <w:keepLines/>
        <w:widowControl/>
        <w:spacing w:after="90" w:line="264" w:lineRule="auto"/>
        <w:ind w:left="403" w:hanging="245"/>
      </w:pPr>
      <w:r>
        <w:t>Model the dominant non-idealities, including loss, phase mismatch, finite reflectivity, detector behavior, qubit decoherence, mode mismatch, and free-space turbulence.</w:t>
      </w:r>
    </w:p>
    <w:p>
      <w:pPr>
        <w:pStyle w:val="ListBullet"/>
        <w:keepNext/>
        <w:keepLines/>
        <w:widowControl/>
        <w:spacing w:after="90" w:line="264" w:lineRule="auto"/>
        <w:ind w:left="403" w:hanging="245"/>
      </w:pPr>
      <w:r>
        <w:t>Identify a credible experimental platform and a staged path from numerical reproduction to laboratory validation.</w:t>
      </w:r>
    </w:p>
    <w:p>
      <w:pPr>
        <w:pStyle w:val="ListBullet"/>
        <w:keepLines/>
        <w:widowControl/>
        <w:spacing w:after="90" w:line="264" w:lineRule="auto"/>
        <w:ind w:left="403" w:hanging="245"/>
      </w:pPr>
      <w:r>
        <w:t>Maintain clear prior-art attribution, terminology boundaries, and traceability between technical statements and supporting evidence.</w:t>
      </w:r>
    </w:p>
    <w:p>
      <w:pPr>
        <w:pStyle w:val="ListBullet"/>
        <w:keepLines/>
        <w:widowControl/>
        <w:spacing w:after="90" w:line="264" w:lineRule="auto"/>
        <w:ind w:left="403" w:hanging="245"/>
      </w:pPr>
      <w:r>
        <w:t>Implement a secure IBM Quantum execution service for reviewed gate-model reference experiments, with local simulation, credential isolation, job provenance, and reproducible result retrieval.</w:t>
      </w:r>
    </w:p>
    <w:p>
      <w:pPr>
        <w:pStyle w:val="ListBullet"/>
        <w:keepLines/>
        <w:widowControl/>
        <w:spacing w:after="90" w:line="264" w:lineRule="auto"/>
        <w:ind w:left="403" w:hanging="245"/>
      </w:pPr>
      <w:r>
        <w:t>Develop Astro Qalice as a separately validated photonic-energy architecture for laser power beaming, receiver conversion, and energy routing in future exploration and space-resource operations.</w:t>
      </w:r>
    </w:p>
    <w:p>
      <w:pPr>
        <w:pStyle w:val="Heading1"/>
        <w:keepNext/>
        <w:keepLines/>
        <w:widowControl/>
      </w:pPr>
      <w:r>
        <w:rPr>
          <w:b w:val="0"/>
          <w:i w:val="0"/>
        </w:rPr>
        <w:t>2. Scientific Foundations and Prior Art</w:t>
      </w:r>
    </w:p>
    <w:p>
      <w:pPr>
        <w:pStyle w:val="Heading2"/>
        <w:keepNext/>
        <w:keepLines/>
        <w:widowControl/>
      </w:pPr>
      <w:r>
        <w:rPr>
          <w:b w:val="0"/>
          <w:i w:val="0"/>
        </w:rPr>
        <w:t>2.1 Physical meaning of a quantum mirror</w:t>
      </w:r>
    </w:p>
    <w:p>
      <w:pPr>
        <w:keepLines w:val="0"/>
        <w:widowControl/>
        <w:spacing w:after="150" w:line="276" w:lineRule="auto"/>
      </w:pPr>
      <w:r>
        <w:rPr>
          <w:b w:val="0"/>
          <w:i w:val="0"/>
        </w:rPr>
        <w:t>A physical quantum mirror (QM) is an optical scatterer whose response is conditioned on a quantum degree of freedom. Under the ideal transformation in Uria et al. [1], the control state |0⟩ transmits two incident modes unchanged, whereas |1⟩ reflects the fields, exchanges the spatial modes, and contributes a π phase to each coherent-state amplitude. A superposition of control states can therefore entangle the control qubit with the optical fields.</w:t>
      </w:r>
    </w:p>
    <w:p>
      <w:pPr>
        <w:keepNext/>
        <w:keepLines/>
        <w:widowControl/>
        <w:spacing w:after="60" w:before="160" w:line="240" w:lineRule="auto"/>
        <w:jc w:val="center"/>
      </w:pPr>
      <w:r>
        <w:rPr>
          <w:rFonts w:ascii="Aptos" w:hAnsi="Aptos" w:eastAsia="Aptos" w:cs="Aptos"/>
        </w:rPr>
        <w:drawing>
          <wp:inline xmlns:a="http://schemas.openxmlformats.org/drawingml/2006/main" xmlns:pic="http://schemas.openxmlformats.org/drawingml/2006/picture">
            <wp:extent cx="6080760" cy="986069"/>
            <wp:docPr id="2" name="Picture 2" title="Ideal quantum-mirror transformation" descr="Two equations defining the ideal conditional quantum-mirror transformation for control states zero and one."/>
            <wp:cNvGraphicFramePr>
              <a:graphicFrameLocks noChangeAspect="1"/>
            </wp:cNvGraphicFramePr>
            <a:graphic>
              <a:graphicData uri="http://schemas.openxmlformats.org/drawingml/2006/picture">
                <pic:pic>
                  <pic:nvPicPr>
                    <pic:cNvPr id="0" name="eq_qm.png"/>
                    <pic:cNvPicPr/>
                  </pic:nvPicPr>
                  <pic:blipFill>
                    <a:blip r:embed="rId15"/>
                    <a:stretch>
                      <a:fillRect/>
                    </a:stretch>
                  </pic:blipFill>
                  <pic:spPr>
                    <a:xfrm>
                      <a:off x="0" y="0"/>
                      <a:ext cx="6080760" cy="986069"/>
                    </a:xfrm>
                    <a:prstGeom prst="rect"/>
                  </pic:spPr>
                </pic:pic>
              </a:graphicData>
            </a:graphic>
          </wp:inline>
        </w:drawing>
      </w:r>
    </w:p>
    <w:p>
      <w:pPr>
        <w:pStyle w:val="QaliceCaption"/>
        <w:keepLines/>
        <w:widowControl/>
        <w:spacing w:after="200" w:before="80" w:line="259" w:lineRule="auto"/>
        <w:jc w:val="center"/>
      </w:pPr>
      <w:r>
        <w:rPr>
          <w:rFonts w:ascii="Aptos" w:hAnsi="Aptos" w:eastAsia="Aptos" w:cs="Aptos"/>
          <w:i/>
          <w:color w:val="555555"/>
          <w:sz w:val="17"/>
        </w:rPr>
        <w:t>Equation 1. Ideal conditional quantum-mirror transformation, adapted from Ref. [1].</w:t>
      </w:r>
    </w:p>
    <w:p>
      <w:pPr>
        <w:keepLines w:val="0"/>
        <w:widowControl/>
        <w:spacing w:after="150" w:line="276" w:lineRule="auto"/>
      </w:pPr>
      <w:r>
        <w:rPr>
          <w:b w:val="0"/>
          <w:i w:val="0"/>
        </w:rPr>
        <w:t>Here, c labels the control qubit; subscripts 1 and 2 label distinguishable optical modes; and |α⟩ and |β⟩ are coherent states. This conditional transformation is the physical basis of the Qalice architecture. Classical mirror equations, deformable-mirror surface models, and generic relativistic field equations describe different phenomena and do not define the QM node.</w:t>
      </w:r>
    </w:p>
    <w:p>
      <w:pPr>
        <w:pStyle w:val="Heading2"/>
        <w:keepNext/>
        <w:keepLines/>
        <w:widowControl/>
      </w:pPr>
      <w:r>
        <w:rPr>
          <w:b w:val="0"/>
          <w:i w:val="0"/>
        </w:rPr>
        <w:t>2.2 Relationship to quantum metasurfaces</w:t>
      </w:r>
    </w:p>
    <w:p>
      <w:pPr>
        <w:keepLines w:val="0"/>
        <w:widowControl/>
        <w:spacing w:after="150" w:line="276" w:lineRule="auto"/>
      </w:pPr>
      <w:r>
        <w:rPr>
          <w:b w:val="0"/>
          <w:i w:val="0"/>
        </w:rPr>
        <w:t>Quantum mirrors arise from work on quantum metasurfaces and collective light–matter interactions in ordered atomic arrays. Bekenstein et al. introduced quantum operator-valued reflectivity in atom-array metasurfaces [2]. Srakaew et al. subsequently demonstrated a subwavelength atomic array whose collective optical response could be switched using a single Rydberg control atom [3]. Uria et al. proposed using conditional scatterers of this type as quantum-network nodes [1]. Qalice adopts this scientific lineage and reserves its original contribution for system architecture, modeling, control, and validation.</w:t>
      </w:r>
    </w:p>
    <w:p>
      <w:pPr>
        <w:pStyle w:val="Heading2"/>
        <w:keepNext/>
        <w:keepLines/>
        <w:widowControl/>
      </w:pPr>
      <w:r>
        <w:rPr>
          <w:b w:val="0"/>
          <w:i w:val="0"/>
        </w:rPr>
        <w:t>2.3 Qalice terminology</w:t>
      </w:r>
    </w:p>
    <w:tbl>
      <w:tblPr>
        <w:tblW w:type="auto" w:w="0"/>
        <w:jc w:val="center"/>
        <w:tblLayout w:type="fixed"/>
        <w:tblLook w:firstColumn="1" w:firstRow="1" w:lastColumn="0" w:lastRow="0" w:noHBand="0" w:noVBand="1" w:val="04A0"/>
      </w:tblPr>
      <w:tblGrid>
        <w:gridCol w:w="10166"/>
      </w:tblGrid>
      <w:tr>
        <w:trPr>
          <w:cantSplit/>
          <w:tblHeader/>
        </w:trPr>
        <w:tc>
          <w:tcPr>
            <w:tcW w:type="dxa" w:w="10166"/>
            <w:shd w:fill="FFF1E8"/>
            <w:tcMar>
              <w:top w:w="90" w:type="dxa"/>
              <w:bottom w:w="90" w:type="dxa"/>
              <w:left w:w="135" w:type="dxa"/>
              <w:right w:w="135" w:type="dxa"/>
              <w:start w:w="105" w:type="dxa"/>
              <w:end w:w="105" w:type="dxa"/>
            </w:tcMar>
            <w:tcBorders>
              <w:top w:val="single" w:sz="8" w:color="F36C21"/>
              <w:left w:val="single" w:sz="18" w:color="F36C21"/>
              <w:bottom w:val="single" w:sz="8" w:color="F36C21"/>
              <w:right w:val="single" w:sz="8" w:color="F36C21"/>
            </w:tcBorders>
            <w:vAlign w:val="center"/>
          </w:tcPr>
          <w:p>
            <w:pPr>
              <w:widowControl/>
              <w:spacing w:after="90" w:before="0" w:line="259" w:lineRule="auto"/>
            </w:pPr>
            <w:r>
              <w:rPr>
                <w:b w:val="0"/>
                <w:i w:val="0"/>
              </w:rPr>
              <w:t>Naming convention</w:t>
            </w:r>
          </w:p>
          <w:p>
            <w:pPr>
              <w:widowControl/>
              <w:spacing w:after="90" w:line="259" w:lineRule="auto" w:before="0"/>
            </w:pPr>
            <w:r>
              <w:rPr>
                <w:b w:val="0"/>
                <w:i w:val="0"/>
              </w:rPr>
              <w:t>“Physical quantum mirror (QM)” denotes the quantum-controlled optical device. “Qalice qMirror Control Layer” denotes the software and control infrastructure used to model, calibrate, monitor, and visualize QM-enabled systems. The distinction prevents a digital control product from being confused with the physical quantum device.</w:t>
            </w:r>
          </w:p>
        </w:tc>
      </w:tr>
    </w:tbl>
    <w:p>
      <w:pPr>
        <w:widowControl/>
        <w:spacing w:after="80" w:before="0" w:line="20" w:lineRule="exact"/>
      </w:pPr>
      <w:r>
        <w:rPr>
          <w:rFonts w:ascii="Aptos" w:hAnsi="Aptos" w:eastAsia="Aptos" w:cs="Aptos"/>
          <w:sz w:val="2"/>
        </w:rPr>
      </w:r>
    </w:p>
    <w:p>
      <w:pPr>
        <w:pStyle w:val="Heading2"/>
        <w:keepNext/>
        <w:keepLines/>
        <w:widowControl/>
      </w:pPr>
      <w:r>
        <w:rPr>
          <w:b w:val="0"/>
          <w:i w:val="0"/>
        </w:rPr>
        <w:t>2.4 Role of adjacent technologies</w:t>
      </w:r>
    </w:p>
    <w:tbl>
      <w:tblPr>
        <w:tblW w:type="auto" w:w="0"/>
        <w:jc w:val="center"/>
        <w:tblLayout w:type="fixed"/>
        <w:tblLook w:firstColumn="1" w:firstRow="1" w:lastColumn="0" w:lastRow="0" w:noHBand="0" w:noVBand="1" w:val="04A0"/>
      </w:tblPr>
      <w:tblGrid>
        <w:gridCol w:w="3389"/>
        <w:gridCol w:w="3389"/>
        <w:gridCol w:w="3389"/>
      </w:tblGrid>
      <w:tr>
        <w:trPr>
          <w:tblHeader w:val="true"/>
          <w:cantSplit/>
        </w:trPr>
        <w:tc>
          <w:tcPr>
            <w:tcW w:type="dxa" w:w="1944"/>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Technology</w:t>
            </w:r>
          </w:p>
        </w:tc>
        <w:tc>
          <w:tcPr>
            <w:tcW w:type="dxa" w:w="4824"/>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b w:val="0"/>
                <w:i w:val="0"/>
              </w:rPr>
              <w:t>Role in the architecture</w:t>
            </w:r>
          </w:p>
        </w:tc>
        <w:tc>
          <w:tcPr>
            <w:tcW w:type="dxa" w:w="2880"/>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b w:val="0"/>
                <w:i w:val="0"/>
              </w:rPr>
              <w:t>Technical boundary</w:t>
            </w:r>
          </w:p>
        </w:tc>
      </w:tr>
      <w:tr>
        <w:trPr>
          <w:cantSplit/>
        </w:trPr>
        <w:tc>
          <w:tcPr>
            <w:tcW w:type="dxa" w:w="194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Photonic integrated circuits (PICs)</w:t>
            </w:r>
          </w:p>
        </w:tc>
        <w:tc>
          <w:tcPr>
            <w:tcW w:type="dxa" w:w="482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Candidate platform for routing, modulation, filtering, interfacing, and detection around a node.</w:t>
            </w:r>
          </w:p>
        </w:tc>
        <w:tc>
          <w:tcPr>
            <w:tcW w:type="dxa" w:w="288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PIC integration with an atomic-array QM is a proposed engineering path, not an established feature of the protocol.</w:t>
            </w:r>
          </w:p>
        </w:tc>
      </w:tr>
      <w:tr>
        <w:trPr>
          <w:cantSplit/>
        </w:trPr>
        <w:tc>
          <w:tcPr>
            <w:tcW w:type="dxa" w:w="194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Deformable mirrors / adaptive optics</w:t>
            </w:r>
          </w:p>
        </w:tc>
        <w:tc>
          <w:tcPr>
            <w:tcW w:type="dxa" w:w="482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Potential correction of wavefront distortion, pointing error, and mode coupling for free-space optical links.</w:t>
            </w:r>
          </w:p>
        </w:tc>
        <w:tc>
          <w:tcPr>
            <w:tcW w:type="dxa" w:w="288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They do not directly preserve an internal qubit’s coherence and are not required for a fiber-only implementation.</w:t>
            </w:r>
          </w:p>
        </w:tc>
      </w:tr>
      <w:tr>
        <w:trPr>
          <w:cantSplit/>
        </w:trPr>
        <w:tc>
          <w:tcPr>
            <w:tcW w:type="dxa" w:w="194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Quantum electrodynamics</w:t>
            </w:r>
          </w:p>
        </w:tc>
        <w:tc>
          <w:tcPr>
            <w:tcW w:type="dxa" w:w="482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Underlying theory of light–matter interaction. Effective Hamiltonians, scattering matrices, input–output theory, and open-system master equations provide the useful system-level description.</w:t>
            </w:r>
          </w:p>
        </w:tc>
        <w:tc>
          <w:tcPr>
            <w:tcW w:type="dxa" w:w="288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A generic Dirac equation does not specify or validate the proposed network architecture.</w:t>
            </w:r>
          </w:p>
        </w:tc>
      </w:tr>
      <w:tr>
        <w:trPr>
          <w:cantSplit/>
        </w:trPr>
        <w:tc>
          <w:tcPr>
            <w:tcW w:type="dxa" w:w="194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Quantum error correction</w:t>
            </w:r>
          </w:p>
        </w:tc>
        <w:tc>
          <w:tcPr>
            <w:tcW w:type="dxa" w:w="482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Potential future layer for fault-tolerant processors, memories, and repeaters.</w:t>
            </w:r>
          </w:p>
        </w:tc>
        <w:tc>
          <w:tcPr>
            <w:tcW w:type="dxa" w:w="288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The quantum-mirror teleportation protocol is not itself a complete QEC scheme.</w:t>
            </w:r>
          </w:p>
        </w:tc>
      </w:tr>
      <w:tr>
        <w:trPr>
          <w:cantSplit/>
        </w:trPr>
        <w:tc>
          <w:tcPr>
            <w:tcW w:type="dxa" w:w="194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Quantum key distribution</w:t>
            </w:r>
          </w:p>
        </w:tc>
        <w:tc>
          <w:tcPr>
            <w:tcW w:type="dxa" w:w="482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A possible application after a specific networking protocol and security model are defined.</w:t>
            </w:r>
          </w:p>
        </w:tc>
        <w:tc>
          <w:tcPr>
            <w:tcW w:type="dxa" w:w="288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A QM node does not automatically provide QKD, endpoint security, authentication, or “unbreakable” communications.</w:t>
            </w:r>
          </w:p>
        </w:tc>
      </w:tr>
    </w:tbl>
    <w:p>
      <w:pPr>
        <w:widowControl/>
        <w:spacing w:after="80" w:before="0" w:line="20" w:lineRule="exact"/>
      </w:pPr>
      <w:r>
        <w:rPr>
          <w:rFonts w:ascii="Aptos" w:hAnsi="Aptos" w:eastAsia="Aptos" w:cs="Aptos"/>
          <w:sz w:val="2"/>
        </w:rPr>
      </w:r>
    </w:p>
    <w:p>
      <w:pPr>
        <w:pStyle w:val="Heading1"/>
        <w:keepNext/>
        <w:keepLines/>
        <w:widowControl/>
      </w:pPr>
      <w:r>
        <w:rPr>
          <w:rFonts w:ascii="Aptos Display" w:hAnsi="Aptos Display" w:eastAsia="Aptos Display" w:cs="Aptos Display"/>
        </w:rPr>
        <w:t>3. Proposed Qalice Architecture</w:t>
      </w:r>
    </w:p>
    <w:p>
      <w:pPr>
        <w:keepLines w:val="0"/>
        <w:widowControl/>
        <w:spacing w:after="150" w:line="276" w:lineRule="auto"/>
      </w:pPr>
      <w:r>
        <w:rPr>
          <w:b w:val="0"/>
          <w:i w:val="0"/>
        </w:rPr>
        <w:t>Qalice is organized as a systems architecture for modeling and coordinating QM-enabled nodes. The qTr, qRe, and qReTr names denote logical functions rather than distinct fabricated devices. A practical node may implement several roles depending on its source, measurement, routing, and control capabilities.</w:t>
      </w:r>
    </w:p>
    <w:p>
      <w:pPr>
        <w:keepNext/>
        <w:keepLines/>
        <w:widowControl/>
        <w:spacing w:after="60" w:before="160" w:line="240" w:lineRule="auto"/>
        <w:jc w:val="center"/>
      </w:pPr>
      <w:r>
        <w:rPr>
          <w:rFonts w:ascii="Aptos" w:hAnsi="Aptos" w:eastAsia="Aptos" w:cs="Aptos"/>
        </w:rPr>
        <w:drawing>
          <wp:inline xmlns:a="http://schemas.openxmlformats.org/drawingml/2006/main" xmlns:pic="http://schemas.openxmlformats.org/drawingml/2006/picture">
            <wp:extent cx="6355080" cy="3036316"/>
            <wp:docPr id="3" name="Picture 3" title="Conceptual Qalice quantum-mirror node pair" descr="Architecture diagram showing Node A and Node B connected by a bidirectional optical link, an authenticated classical channel, and a Qalice control and simulation layer."/>
            <wp:cNvGraphicFramePr>
              <a:graphicFrameLocks noChangeAspect="1"/>
            </wp:cNvGraphicFramePr>
            <a:graphic>
              <a:graphicData uri="http://schemas.openxmlformats.org/drawingml/2006/picture">
                <pic:pic>
                  <pic:nvPicPr>
                    <pic:cNvPr id="0" name="architecture.png"/>
                    <pic:cNvPicPr/>
                  </pic:nvPicPr>
                  <pic:blipFill>
                    <a:blip r:embed="rId16"/>
                    <a:stretch>
                      <a:fillRect/>
                    </a:stretch>
                  </pic:blipFill>
                  <pic:spPr>
                    <a:xfrm>
                      <a:off x="0" y="0"/>
                      <a:ext cx="6355080" cy="3036316"/>
                    </a:xfrm>
                    <a:prstGeom prst="rect"/>
                  </pic:spPr>
                </pic:pic>
              </a:graphicData>
            </a:graphic>
          </wp:inline>
        </w:drawing>
      </w:r>
    </w:p>
    <w:p>
      <w:pPr>
        <w:pStyle w:val="QaliceCaption"/>
        <w:keepNext w:val="0"/>
        <w:keepLines/>
        <w:widowControl/>
        <w:spacing w:after="200" w:before="80" w:line="259" w:lineRule="auto"/>
        <w:jc w:val="center"/>
      </w:pPr>
      <w:r>
        <w:rPr>
          <w:b w:val="0"/>
          <w:i w:val="0"/>
        </w:rPr>
        <w:t>Figure 1. Conceptual Qalice node pair. Quantum optical modes propagate through the optical channel; a separate authenticated classical channel carries measurement outcomes, feed-forward instructions, timing, calibration, and telemetry.</w:t>
      </w:r>
    </w:p>
    <w:p>
      <w:pPr>
        <w:pStyle w:val="Heading2"/>
        <w:keepNext/>
        <w:keepLines/>
        <w:widowControl/>
      </w:pPr>
      <w:r>
        <w:rPr>
          <w:rFonts w:ascii="Aptos Display" w:hAnsi="Aptos Display" w:eastAsia="Aptos Display" w:cs="Aptos Display"/>
        </w:rPr>
        <w:t>3.1 Logical node roles</w:t>
      </w:r>
    </w:p>
    <w:tbl>
      <w:tblPr>
        <w:tblW w:type="auto" w:w="0"/>
        <w:jc w:val="center"/>
        <w:tblLayout w:type="fixed"/>
        <w:tblLook w:firstColumn="1" w:firstRow="1" w:lastColumn="0" w:lastRow="0" w:noHBand="0" w:noVBand="1" w:val="04A0"/>
      </w:tblPr>
      <w:tblGrid>
        <w:gridCol w:w="3389"/>
        <w:gridCol w:w="3389"/>
        <w:gridCol w:w="3389"/>
      </w:tblGrid>
      <w:tr>
        <w:trPr>
          <w:tblHeader w:val="true"/>
          <w:cantSplit/>
        </w:trPr>
        <w:tc>
          <w:tcPr>
            <w:tcW w:type="dxa" w:w="1944"/>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Role</w:t>
            </w:r>
          </w:p>
        </w:tc>
        <w:tc>
          <w:tcPr>
            <w:tcW w:type="dxa" w:w="4608"/>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Proposed responsibility</w:t>
            </w:r>
          </w:p>
        </w:tc>
        <w:tc>
          <w:tcPr>
            <w:tcW w:type="dxa" w:w="3096"/>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Minimum modeled interfaces</w:t>
            </w:r>
          </w:p>
        </w:tc>
      </w:tr>
      <w:tr>
        <w:trPr>
          <w:cantSplit/>
        </w:trPr>
        <w:tc>
          <w:tcPr>
            <w:tcW w:type="dxa" w:w="194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qTr — optical launch role</w:t>
            </w:r>
          </w:p>
        </w:tc>
        <w:tc>
          <w:tcPr>
            <w:tcW w:type="dxa" w:w="460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Prepare mediator optical modes, initialize the local control qubit, apply the QM interaction, and launch the modes into the channel.</w:t>
            </w:r>
          </w:p>
        </w:tc>
        <w:tc>
          <w:tcPr>
            <w:tcW w:type="dxa" w:w="309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State preparation; optical source; QM transformation; timing trigger; channel launch; health telemetry.</w:t>
            </w:r>
          </w:p>
        </w:tc>
      </w:tr>
      <w:tr>
        <w:trPr>
          <w:cantSplit/>
        </w:trPr>
        <w:tc>
          <w:tcPr>
            <w:tcW w:type="dxa" w:w="194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qRe — optical receive and measurement role</w:t>
            </w:r>
          </w:p>
        </w:tc>
        <w:tc>
          <w:tcPr>
            <w:tcW w:type="dxa" w:w="460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Receive and mode-match optical fields, apply or complete the QM interaction, perform control-qubit and optical measurements, and publish classical outcomes.</w:t>
            </w:r>
          </w:p>
        </w:tc>
        <w:tc>
          <w:tcPr>
            <w:tcW w:type="dxa" w:w="309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Link receive; mode matching; QM transformation; detector model; qubit measurement; authenticated classical output.</w:t>
            </w:r>
          </w:p>
        </w:tc>
      </w:tr>
      <w:tr>
        <w:trPr>
          <w:cantSplit/>
        </w:trPr>
        <w:tc>
          <w:tcPr>
            <w:tcW w:type="dxa" w:w="194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qReTr — hybrid node role</w:t>
            </w:r>
          </w:p>
        </w:tc>
        <w:tc>
          <w:tcPr>
            <w:tcW w:type="dxa" w:w="460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Combine launch, receive, measurement, and routing functions for bidirectional protocols, state-transfer experiments, or repeater-like workflows.</w:t>
            </w:r>
          </w:p>
        </w:tc>
        <w:tc>
          <w:tcPr>
            <w:tcW w:type="dxa" w:w="309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All qTr and qRe interfaces plus scheduling, isolation/circulation, and direction control.</w:t>
            </w:r>
          </w:p>
        </w:tc>
      </w:tr>
      <w:tr>
        <w:trPr>
          <w:cantSplit/>
        </w:trPr>
        <w:tc>
          <w:tcPr>
            <w:tcW w:type="dxa" w:w="194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qMirror Control Layer</w:t>
            </w:r>
          </w:p>
        </w:tc>
        <w:tc>
          <w:tcPr>
            <w:tcW w:type="dxa" w:w="460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Configure simulations or hardware, manage calibration, synchronize events, estimate parameters, and preserve experimental provenance.</w:t>
            </w:r>
          </w:p>
        </w:tc>
        <w:tc>
          <w:tcPr>
            <w:tcW w:type="dxa" w:w="309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Device API; clocking; calibration data; parameter registry; audit log; experiment manifest; results store.</w:t>
            </w:r>
          </w:p>
        </w:tc>
      </w:tr>
    </w:tbl>
    <w:p>
      <w:pPr>
        <w:widowControl/>
        <w:spacing w:after="80" w:before="0" w:line="20" w:lineRule="exact"/>
      </w:pPr>
      <w:r>
        <w:rPr>
          <w:rFonts w:ascii="Aptos" w:hAnsi="Aptos" w:eastAsia="Aptos" w:cs="Aptos"/>
          <w:sz w:val="2"/>
        </w:rPr>
      </w:r>
    </w:p>
    <w:p>
      <w:pPr>
        <w:pStyle w:val="Heading2"/>
        <w:keepNext/>
        <w:keepLines/>
        <w:widowControl/>
      </w:pPr>
      <w:r>
        <w:rPr>
          <w:rFonts w:ascii="Aptos Display" w:hAnsi="Aptos Display" w:eastAsia="Aptos Display" w:cs="Aptos Display"/>
        </w:rPr>
        <w:t>3.2 Node functional blocks</w:t>
      </w:r>
    </w:p>
    <w:p>
      <w:pPr>
        <w:pStyle w:val="ListBullet"/>
        <w:keepLines/>
        <w:widowControl/>
        <w:spacing w:after="90" w:line="264" w:lineRule="auto"/>
        <w:ind w:left="403" w:hanging="245"/>
      </w:pPr>
      <w:r>
        <w:rPr>
          <w:rFonts w:ascii="Aptos" w:hAnsi="Aptos" w:eastAsia="Aptos" w:cs="Aptos"/>
          <w:sz w:val="21"/>
        </w:rPr>
        <w:t>Control qubit and physical QM interface: the quantum-controlled scattering element and its preparation, control, and readout mechanisms.</w:t>
      </w:r>
    </w:p>
    <w:p>
      <w:pPr>
        <w:pStyle w:val="ListBullet"/>
        <w:keepLines/>
        <w:widowControl/>
        <w:spacing w:after="90" w:line="264" w:lineRule="auto"/>
        <w:ind w:left="403" w:hanging="245"/>
      </w:pPr>
      <w:r>
        <w:rPr>
          <w:rFonts w:ascii="Aptos" w:hAnsi="Aptos" w:eastAsia="Aptos" w:cs="Aptos"/>
          <w:sz w:val="21"/>
        </w:rPr>
        <w:t>Optical source and preparation: coherent-state generation, amplitude and phase control, polarization/spatial-mode preparation, filtering, and isolation.</w:t>
      </w:r>
    </w:p>
    <w:p>
      <w:pPr>
        <w:pStyle w:val="ListBullet"/>
        <w:keepLines/>
        <w:widowControl/>
        <w:spacing w:after="90" w:line="264" w:lineRule="auto"/>
        <w:ind w:left="403" w:hanging="245"/>
      </w:pPr>
      <w:r>
        <w:rPr>
          <w:rFonts w:ascii="Aptos" w:hAnsi="Aptos" w:eastAsia="Aptos" w:cs="Aptos"/>
          <w:sz w:val="21"/>
        </w:rPr>
        <w:t>Optical routing: free-space or integrated routing, mode multiplexing, coupling, switching, and optional PIC interfaces.</w:t>
      </w:r>
    </w:p>
    <w:p>
      <w:pPr>
        <w:pStyle w:val="ListBullet"/>
        <w:keepLines/>
        <w:widowControl/>
        <w:spacing w:after="90" w:line="264" w:lineRule="auto"/>
        <w:ind w:left="403" w:hanging="245"/>
      </w:pPr>
      <w:r>
        <w:rPr>
          <w:rFonts w:ascii="Aptos" w:hAnsi="Aptos" w:eastAsia="Aptos" w:cs="Aptos"/>
          <w:sz w:val="21"/>
        </w:rPr>
        <w:t>Channel stabilization: path-length and phase stabilization; for free space, pointing, tracking, wavefront correction, and atmospheric monitoring.</w:t>
      </w:r>
    </w:p>
    <w:p>
      <w:pPr>
        <w:pStyle w:val="ListBullet"/>
        <w:keepLines/>
        <w:widowControl/>
        <w:spacing w:after="90" w:line="264" w:lineRule="auto"/>
        <w:ind w:left="403" w:hanging="245"/>
      </w:pPr>
      <w:r>
        <w:rPr>
          <w:rFonts w:ascii="Aptos" w:hAnsi="Aptos" w:eastAsia="Aptos" w:cs="Aptos"/>
          <w:sz w:val="21"/>
        </w:rPr>
        <w:t>Measurement: optical detection and control-qubit measurement, with modeled efficiency, dead time, dark counts, timing jitter, and discrimination errors.</w:t>
      </w:r>
    </w:p>
    <w:p>
      <w:pPr>
        <w:pStyle w:val="ListBullet"/>
        <w:keepLines/>
        <w:widowControl/>
        <w:spacing w:after="90" w:line="264" w:lineRule="auto"/>
        <w:ind w:left="403" w:hanging="245"/>
      </w:pPr>
      <w:r>
        <w:rPr>
          <w:rFonts w:ascii="Aptos" w:hAnsi="Aptos" w:eastAsia="Aptos" w:cs="Aptos"/>
          <w:sz w:val="21"/>
        </w:rPr>
        <w:t>Classical control plane: authenticated communication for measurement outcomes, Pauli feed-forward, timing, calibration, logging, and safety interlocks.</w:t>
      </w:r>
    </w:p>
    <w:p>
      <w:pPr>
        <w:pStyle w:val="Heading2"/>
        <w:keepNext/>
        <w:keepLines/>
        <w:widowControl/>
      </w:pPr>
      <w:r>
        <w:rPr>
          <w:b w:val="0"/>
          <w:i w:val="0"/>
        </w:rPr>
        <w:t>3.3 Teleportation-oriented evaluation sequence</w:t>
      </w:r>
    </w:p>
    <w:p>
      <w:pPr>
        <w:pStyle w:val="ListNumber"/>
        <w:keepLines/>
        <w:widowControl/>
        <w:spacing w:after="90" w:line="264" w:lineRule="auto"/>
        <w:ind w:left="432" w:hanging="288"/>
      </w:pPr>
      <w:r>
        <w:rPr>
          <w:b w:val="0"/>
          <w:i w:val="0"/>
        </w:rPr>
        <w:t>Initialize Bob’s control qubit in an equal superposition and prepare the two mediator optical modes.</w:t>
      </w:r>
    </w:p>
    <w:p>
      <w:pPr>
        <w:pStyle w:val="ListNumber"/>
        <w:keepLines/>
        <w:widowControl/>
        <w:spacing w:after="90" w:line="264" w:lineRule="auto"/>
        <w:ind w:left="432" w:hanging="288"/>
      </w:pPr>
      <w:r>
        <w:rPr>
          <w:b w:val="0"/>
          <w:i w:val="0"/>
        </w:rPr>
        <w:t>Apply Bob’s QM transformation to entangle the control qubit with the optical modes.</w:t>
      </w:r>
    </w:p>
    <w:p>
      <w:pPr>
        <w:pStyle w:val="ListNumber"/>
        <w:keepLines/>
        <w:widowControl/>
        <w:spacing w:after="90" w:line="264" w:lineRule="auto"/>
        <w:ind w:left="432" w:hanging="288"/>
      </w:pPr>
      <w:r>
        <w:rPr>
          <w:b w:val="0"/>
          <w:i w:val="0"/>
        </w:rPr>
        <w:t>Propagate the optical modes through the characterized channel to Alice.</w:t>
      </w:r>
    </w:p>
    <w:p>
      <w:pPr>
        <w:pStyle w:val="ListNumber"/>
        <w:keepLines/>
        <w:widowControl/>
        <w:spacing w:after="90" w:line="264" w:lineRule="auto"/>
        <w:ind w:left="432" w:hanging="288"/>
      </w:pPr>
      <w:r>
        <w:rPr>
          <w:b w:val="0"/>
          <w:i w:val="0"/>
        </w:rPr>
        <w:t>Prepare Alice’s control qubit in the unknown input state and apply Alice’s QM transformation.</w:t>
      </w:r>
    </w:p>
    <w:p>
      <w:pPr>
        <w:pStyle w:val="ListNumber"/>
        <w:keepLines/>
        <w:widowControl/>
        <w:spacing w:after="90" w:line="264" w:lineRule="auto"/>
        <w:ind w:left="432" w:hanging="288"/>
      </w:pPr>
      <w:r>
        <w:rPr>
          <w:b w:val="0"/>
          <w:i w:val="0"/>
        </w:rPr>
        <w:t>Measure Alice’s control qubit and optical output modes in the protocol-defined bases using the specified detector model.</w:t>
      </w:r>
    </w:p>
    <w:p>
      <w:pPr>
        <w:pStyle w:val="ListNumber"/>
        <w:keepLines/>
        <w:widowControl/>
        <w:spacing w:after="90" w:line="264" w:lineRule="auto"/>
        <w:ind w:left="432" w:hanging="288"/>
      </w:pPr>
      <w:r>
        <w:rPr>
          <w:b w:val="0"/>
          <w:i w:val="0"/>
        </w:rPr>
        <w:t>Transmit the measurement outcome through an authenticated classical channel.</w:t>
      </w:r>
    </w:p>
    <w:p>
      <w:pPr>
        <w:pStyle w:val="ListNumber"/>
        <w:keepLines/>
        <w:widowControl/>
        <w:spacing w:after="90" w:line="264" w:lineRule="auto"/>
        <w:ind w:left="432" w:hanging="288"/>
      </w:pPr>
      <w:r>
        <w:rPr>
          <w:b w:val="0"/>
          <w:i w:val="0"/>
        </w:rPr>
        <w:t>Apply the corresponding local correction at Bob and estimate protocol success probability, teleportation fidelity, and uncertainty.</w:t>
      </w:r>
    </w:p>
    <w:p>
      <w:pPr>
        <w:keepLines w:val="0"/>
        <w:widowControl/>
        <w:spacing w:before="80" w:after="150" w:line="276" w:lineRule="auto"/>
      </w:pPr>
      <w:r>
        <w:rPr>
          <w:b/>
          <w:color w:val="F36C21"/>
        </w:rPr>
        <w:t xml:space="preserve">Causality note: </w:t>
      </w:r>
      <w:r>
        <w:rPr>
          <w:i/>
          <w:color w:val="5A5A5A"/>
        </w:rPr>
        <w:t>Quantum teleportation requires classical communication of the measurement outcome and cannot transmit usable information faster than light.</w:t>
      </w:r>
    </w:p>
    <w:p>
      <w:pPr>
        <w:widowControl/>
        <w:spacing w:after="220"/>
      </w:pPr>
      <w:r>
        <w:rPr>
          <w:b/>
          <w:color w:val="F36C21"/>
        </w:rPr>
        <w:t xml:space="preserve">Protocol-direction note: </w:t>
      </w:r>
      <w:r>
        <w:rPr>
          <w:i/>
          <w:color w:val="5A5A5A"/>
        </w:rPr>
        <w:t>In the protocol of Ref. [1], Bob launches the mediator optical modes but receives the teleported qubit. The qTr and qRe labels therefore describe node functions, not ownership or direction of the unknown quantum state.</w:t>
      </w:r>
    </w:p>
    <w:p>
      <w:pPr>
        <w:widowControl/>
        <w:spacing w:after="80" w:before="0" w:line="20" w:lineRule="exact"/>
      </w:pPr>
      <w:r>
        <w:rPr>
          <w:rFonts w:ascii="Aptos" w:hAnsi="Aptos" w:eastAsia="Aptos" w:cs="Aptos"/>
          <w:sz w:val="2"/>
        </w:rPr>
      </w:r>
    </w:p>
    <w:p>
      <w:pPr>
        <w:pStyle w:val="Heading1"/>
        <w:keepNext/>
        <w:keepLines/>
        <w:widowControl/>
      </w:pPr>
      <w:r>
        <w:rPr>
          <w:rFonts w:ascii="Aptos Display" w:hAnsi="Aptos Display" w:eastAsia="Aptos Display" w:cs="Aptos Display"/>
        </w:rPr>
        <w:t>4. Protocol and Performance Model</w:t>
      </w:r>
    </w:p>
    <w:p>
      <w:pPr>
        <w:pStyle w:val="Heading2"/>
        <w:keepNext/>
        <w:keepLines/>
        <w:widowControl/>
      </w:pPr>
      <w:r>
        <w:rPr>
          <w:b w:val="0"/>
          <w:i w:val="0"/>
        </w:rPr>
        <w:t>4.1 Ideal benchmark from the cited protocol</w:t>
      </w:r>
    </w:p>
    <w:p>
      <w:pPr>
        <w:keepLines w:val="0"/>
        <w:widowControl/>
        <w:spacing w:after="150" w:line="276" w:lineRule="auto"/>
      </w:pPr>
      <w:r>
        <w:rPr>
          <w:b w:val="0"/>
          <w:i w:val="0"/>
        </w:rPr>
        <w:t>For the idealized case analyzed in Ref. [1], with one optical input in vacuum, ideal state discrimination, and mean photon number n̄ = |α|², the no-detection failure probability decreases exponentially. The reported success probability and unconditional average teleportation fidelity are shown below. Supporting state, channel, measurement, detector, and control equations are collected in Appendix B.</w:t>
      </w:r>
    </w:p>
    <w:p>
      <w:pPr>
        <w:keepNext/>
        <w:keepLines/>
        <w:widowControl/>
        <w:spacing w:after="60" w:before="160" w:line="240" w:lineRule="auto"/>
        <w:jc w:val="center"/>
      </w:pPr>
      <w:r>
        <w:rPr>
          <w:rFonts w:ascii="Aptos" w:hAnsi="Aptos" w:eastAsia="Aptos" w:cs="Aptos"/>
        </w:rPr>
        <w:drawing>
          <wp:inline xmlns:a="http://schemas.openxmlformats.org/drawingml/2006/main" xmlns:pic="http://schemas.openxmlformats.org/drawingml/2006/picture">
            <wp:extent cx="5440680" cy="592549"/>
            <wp:docPr id="4" name="Picture 4" title="Ideal protocol benchmark equations" descr="Equations for ideal success probability, average teleportation fidelity, and mean photon number."/>
            <wp:cNvGraphicFramePr>
              <a:graphicFrameLocks noChangeAspect="1"/>
            </wp:cNvGraphicFramePr>
            <a:graphic>
              <a:graphicData uri="http://schemas.openxmlformats.org/drawingml/2006/picture">
                <pic:pic>
                  <pic:nvPicPr>
                    <pic:cNvPr id="0" name="eq_perf.png"/>
                    <pic:cNvPicPr/>
                  </pic:nvPicPr>
                  <pic:blipFill>
                    <a:blip r:embed="rId17"/>
                    <a:stretch>
                      <a:fillRect/>
                    </a:stretch>
                  </pic:blipFill>
                  <pic:spPr>
                    <a:xfrm>
                      <a:off x="0" y="0"/>
                      <a:ext cx="5440680" cy="592549"/>
                    </a:xfrm>
                    <a:prstGeom prst="rect"/>
                  </pic:spPr>
                </pic:pic>
              </a:graphicData>
            </a:graphic>
          </wp:inline>
        </w:drawing>
      </w:r>
    </w:p>
    <w:p>
      <w:pPr>
        <w:pStyle w:val="QaliceCaption"/>
        <w:keepLines/>
        <w:widowControl/>
        <w:spacing w:after="200" w:before="80" w:line="259" w:lineRule="auto"/>
        <w:jc w:val="center"/>
      </w:pPr>
      <w:r>
        <w:rPr>
          <w:rFonts w:ascii="Aptos" w:hAnsi="Aptos" w:eastAsia="Aptos" w:cs="Aptos"/>
          <w:i/>
          <w:color w:val="555555"/>
          <w:sz w:val="17"/>
        </w:rPr>
        <w:t>Equation 2. Ideal benchmark quantities reported in Ref. [1]. These are literature results, not Qalice measurements.</w:t>
      </w:r>
    </w:p>
    <w:p>
      <w:pPr>
        <w:keepLines w:val="0"/>
        <w:widowControl/>
        <w:spacing w:after="150" w:line="276" w:lineRule="auto"/>
      </w:pPr>
      <w:r>
        <w:rPr>
          <w:b w:val="0"/>
          <w:i w:val="0"/>
        </w:rPr>
        <w:t>At n̄ = 4, the ideal equations give Pₛ ≈ 0.9817 and F̄ ≈ 0.9908. These values provide a numerical reproduction benchmark rather than a hardware forecast. Practical performance requires the full channel, detector, control-qubit, and mode-overlap model.</w:t>
      </w:r>
    </w:p>
    <w:p>
      <w:pPr>
        <w:pStyle w:val="Heading2"/>
        <w:keepNext/>
        <w:keepLines/>
        <w:widowControl/>
      </w:pPr>
      <w:r>
        <w:rPr>
          <w:rFonts w:ascii="Aptos Display" w:hAnsi="Aptos Display" w:eastAsia="Aptos Display" w:cs="Aptos Display"/>
        </w:rPr>
        <w:t>4.2 Link budget and state propagation</w:t>
      </w:r>
    </w:p>
    <w:p>
      <w:pPr>
        <w:keepLines w:val="0"/>
        <w:widowControl/>
        <w:spacing w:after="150" w:line="276" w:lineRule="auto"/>
      </w:pPr>
      <w:r>
        <w:rPr>
          <w:b w:val="0"/>
          <w:i w:val="0"/>
        </w:rPr>
        <w:t>An engineering link budget should separate channel transmission from detector efficiency so that losses are not counted twice. For a fiber link, the optical transmission to the detector input can be estimated from distributed attenuation and lumped coupling or component losses:</w:t>
      </w:r>
    </w:p>
    <w:p>
      <w:pPr>
        <w:keepNext/>
        <w:keepLines/>
        <w:widowControl/>
        <w:spacing w:after="60" w:before="160" w:line="240" w:lineRule="auto"/>
        <w:jc w:val="center"/>
      </w:pPr>
      <w:r>
        <w:rPr>
          <w:rFonts w:ascii="Aptos" w:hAnsi="Aptos" w:eastAsia="Aptos" w:cs="Aptos"/>
        </w:rPr>
        <w:drawing>
          <wp:inline xmlns:a="http://schemas.openxmlformats.org/drawingml/2006/main" xmlns:pic="http://schemas.openxmlformats.org/drawingml/2006/picture">
            <wp:extent cx="5394960" cy="587570"/>
            <wp:docPr id="5" name="Picture 5" title="Optical link budget equations" descr="Equations for fiber transmission efficiency and received mean photon number."/>
            <wp:cNvGraphicFramePr>
              <a:graphicFrameLocks noChangeAspect="1"/>
            </wp:cNvGraphicFramePr>
            <a:graphic>
              <a:graphicData uri="http://schemas.openxmlformats.org/drawingml/2006/picture">
                <pic:pic>
                  <pic:nvPicPr>
                    <pic:cNvPr id="0" name="eq_link.png"/>
                    <pic:cNvPicPr/>
                  </pic:nvPicPr>
                  <pic:blipFill>
                    <a:blip r:embed="rId18"/>
                    <a:stretch>
                      <a:fillRect/>
                    </a:stretch>
                  </pic:blipFill>
                  <pic:spPr>
                    <a:xfrm>
                      <a:off x="0" y="0"/>
                      <a:ext cx="5394960" cy="587570"/>
                    </a:xfrm>
                    <a:prstGeom prst="rect"/>
                  </pic:spPr>
                </pic:pic>
              </a:graphicData>
            </a:graphic>
          </wp:inline>
        </w:drawing>
      </w:r>
    </w:p>
    <w:p>
      <w:pPr>
        <w:pStyle w:val="QaliceCaption"/>
        <w:keepLines/>
        <w:widowControl/>
        <w:spacing w:after="200" w:before="80" w:line="259" w:lineRule="auto"/>
        <w:jc w:val="center"/>
      </w:pPr>
      <w:r>
        <w:rPr>
          <w:b w:val="0"/>
          <w:i w:val="0"/>
        </w:rPr>
        <w:t>Equation 3. Basic optical link relation. Protocol fidelity under loss must be calculated with the corresponding quantum channel and measurement model rather than inferred from the link budget alone.</w:t>
      </w:r>
    </w:p>
    <w:p>
      <w:pPr>
        <w:keepLines w:val="0"/>
        <w:widowControl/>
        <w:spacing w:after="150" w:line="276" w:lineRule="auto"/>
      </w:pPr>
      <w:r>
        <w:rPr>
          <w:b w:val="0"/>
          <w:i w:val="0"/>
        </w:rPr>
        <w:t>For free-space links, ηch should be decomposed into geometric coupling, atmospheric transmission, pointing and tracking, mode overlap, and optical throughput, while detector efficiency ηd remains a separate measurement parameter. Turbulence and phase noise require time-dependent or statistical models. Deformable mirrors may improve mode overlap and pointing stability, but the improvement must be evaluated against added optical loss, control bandwidth, calibration complexity, and latency.</w:t>
      </w:r>
    </w:p>
    <w:p>
      <w:pPr>
        <w:pStyle w:val="Heading2"/>
        <w:keepNext/>
        <w:keepLines/>
        <w:pageBreakBefore w:val="0"/>
        <w:widowControl/>
      </w:pPr>
      <w:r>
        <w:rPr>
          <w:b w:val="0"/>
          <w:i w:val="0"/>
        </w:rPr>
        <w:t>4.3 Required nonideal model parameters</w:t>
      </w:r>
    </w:p>
    <w:tbl>
      <w:tblPr>
        <w:tblW w:type="auto" w:w="0"/>
        <w:jc w:val="center"/>
        <w:tblLayout w:type="fixed"/>
        <w:tblLook w:firstColumn="1" w:firstRow="1" w:lastColumn="0" w:lastRow="0" w:noHBand="0" w:noVBand="1" w:val="04A0"/>
      </w:tblPr>
      <w:tblGrid>
        <w:gridCol w:w="3389"/>
        <w:gridCol w:w="3389"/>
        <w:gridCol w:w="3389"/>
      </w:tblGrid>
      <w:tr>
        <w:trPr>
          <w:tblHeader w:val="true"/>
          <w:cantSplit/>
        </w:trPr>
        <w:tc>
          <w:tcPr>
            <w:tcW w:type="dxa" w:w="1800"/>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Parameter</w:t>
            </w:r>
          </w:p>
        </w:tc>
        <w:tc>
          <w:tcPr>
            <w:tcW w:type="dxa" w:w="2880"/>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Meaning</w:t>
            </w:r>
          </w:p>
        </w:tc>
        <w:tc>
          <w:tcPr>
            <w:tcW w:type="dxa" w:w="4968"/>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b w:val="0"/>
                <w:i w:val="0"/>
              </w:rPr>
              <w:t>Modeling requirement</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n̄ = |α|²</w:t>
            </w:r>
          </w:p>
        </w:tc>
        <w:tc>
          <w:tcPr>
            <w:tcW w:type="dxa" w:w="288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Mean photon number in the coherent state.</w:t>
            </w:r>
          </w:p>
        </w:tc>
        <w:tc>
          <w:tcPr>
            <w:tcW w:type="dxa" w:w="496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Controls non-orthogonality and ideal no-click failure; sweep with Fock-space convergence checks.</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ηch</w:t>
            </w:r>
          </w:p>
        </w:tc>
        <w:tc>
          <w:tcPr>
            <w:tcW w:type="dxa" w:w="288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Optical transmission to the detector input, excluding detector quantum efficiency.</w:t>
            </w:r>
          </w:p>
        </w:tc>
        <w:tc>
          <w:tcPr>
            <w:tcW w:type="dxa" w:w="496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Apply a pure-loss channel and separate propagation, coupling, device, and filtering losses.</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δ</w:t>
            </w:r>
          </w:p>
        </w:tc>
        <w:tc>
          <w:tcPr>
            <w:tcW w:type="dxa" w:w="288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Relative phase mismatch between optical modes.</w:t>
            </w:r>
          </w:p>
        </w:tc>
        <w:tc>
          <w:tcPr>
            <w:tcW w:type="dxa" w:w="496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Model path-length noise, phase lock performance, and time variation.</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rj, tj, φj</w:t>
            </w:r>
          </w:p>
        </w:tc>
        <w:tc>
          <w:tcPr>
            <w:tcW w:type="dxa" w:w="288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Complex QM reflection and transmission amplitudes and associated phase errors.</w:t>
            </w:r>
          </w:p>
        </w:tc>
        <w:tc>
          <w:tcPr>
            <w:tcW w:type="dxa" w:w="496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Replace the ideal conditional swap with a nonunitary, lossy, or otherwise imperfect scattering model.</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ηd, pdark, τj</w:t>
            </w:r>
          </w:p>
        </w:tc>
        <w:tc>
          <w:tcPr>
            <w:tcW w:type="dxa" w:w="288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Detector efficiency, dark-count probability, and timing jitter.</w:t>
            </w:r>
          </w:p>
        </w:tc>
        <w:tc>
          <w:tcPr>
            <w:tcW w:type="dxa" w:w="496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Modify discrimination outcomes and false-positive or false-negative event rates.</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T₁, T₂, εprep, εmeas</w:t>
            </w:r>
          </w:p>
        </w:tc>
        <w:tc>
          <w:tcPr>
            <w:tcW w:type="dxa" w:w="288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Control-qubit relaxation, dephasing, preparation, and measurement errors.</w:t>
            </w:r>
          </w:p>
        </w:tc>
        <w:tc>
          <w:tcPr>
            <w:tcW w:type="dxa" w:w="496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Use open-system evolution or calibrated channels during the full protocol duration.</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M</w:t>
            </w:r>
          </w:p>
        </w:tc>
        <w:tc>
          <w:tcPr>
            <w:tcW w:type="dxa" w:w="288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Spatial, spectral, polarization, and temporal mode overlap.</w:t>
            </w:r>
          </w:p>
        </w:tc>
        <w:tc>
          <w:tcPr>
            <w:tcW w:type="dxa" w:w="496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Imperfect overlap reduces interference and discrimination; model as visibility or multimode coupling.</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tff, pmsg</w:t>
            </w:r>
          </w:p>
        </w:tc>
        <w:tc>
          <w:tcPr>
            <w:tcW w:type="dxa" w:w="288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Classical feed-forward latency and message-error probability.</w:t>
            </w:r>
          </w:p>
        </w:tc>
        <w:tc>
          <w:tcPr>
            <w:tcW w:type="dxa" w:w="496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Affects memory-time requirements, scheduling, and operational success without altering causality.</w:t>
            </w:r>
          </w:p>
        </w:tc>
      </w:tr>
    </w:tbl>
    <w:p>
      <w:pPr>
        <w:widowControl/>
        <w:spacing w:after="80" w:before="0" w:line="20" w:lineRule="exact"/>
      </w:pPr>
      <w:r>
        <w:rPr>
          <w:rFonts w:ascii="Aptos" w:hAnsi="Aptos" w:eastAsia="Aptos" w:cs="Aptos"/>
          <w:sz w:val="2"/>
        </w:rPr>
      </w:r>
    </w:p>
    <w:p>
      <w:pPr>
        <w:pStyle w:val="Heading2"/>
        <w:keepNext/>
        <w:keepLines/>
        <w:widowControl/>
      </w:pPr>
      <w:r>
        <w:rPr>
          <w:rFonts w:ascii="Aptos Display" w:hAnsi="Aptos Display" w:eastAsia="Aptos Display" w:cs="Aptos Display"/>
        </w:rPr>
        <w:t>4.4 Metrics to report</w:t>
      </w:r>
    </w:p>
    <w:p>
      <w:pPr>
        <w:pStyle w:val="ListBullet"/>
        <w:keepLines/>
        <w:widowControl/>
        <w:spacing w:after="90" w:line="264" w:lineRule="auto"/>
        <w:ind w:left="403" w:hanging="245"/>
      </w:pPr>
      <w:r>
        <w:rPr>
          <w:b w:val="0"/>
          <w:i w:val="0"/>
        </w:rPr>
        <w:t>Protocol success probability with an explicit event definition and uncertainty or confidence intervals appropriate to the data source.</w:t>
      </w:r>
    </w:p>
    <w:p>
      <w:pPr>
        <w:pStyle w:val="ListBullet"/>
        <w:keepLines/>
        <w:widowControl/>
        <w:spacing w:after="90" w:line="264" w:lineRule="auto"/>
        <w:ind w:left="403" w:hanging="245"/>
      </w:pPr>
      <w:r>
        <w:rPr>
          <w:b w:val="0"/>
          <w:i w:val="0"/>
        </w:rPr>
        <w:t>Conditional fidelity for accepted events and unconditional average fidelity that includes failure outcomes.</w:t>
      </w:r>
    </w:p>
    <w:p>
      <w:pPr>
        <w:pStyle w:val="ListBullet"/>
        <w:keepLines/>
        <w:widowControl/>
        <w:spacing w:after="90" w:line="264" w:lineRule="auto"/>
        <w:ind w:left="403" w:hanging="245"/>
      </w:pPr>
      <w:r>
        <w:rPr>
          <w:rFonts w:ascii="Aptos" w:hAnsi="Aptos" w:eastAsia="Aptos" w:cs="Aptos"/>
          <w:sz w:val="21"/>
        </w:rPr>
        <w:t>Entanglement fidelity or process fidelity when characterizing the effective channel.</w:t>
      </w:r>
    </w:p>
    <w:p>
      <w:pPr>
        <w:pStyle w:val="ListBullet"/>
        <w:keepLines/>
        <w:widowControl/>
        <w:spacing w:after="90" w:line="264" w:lineRule="auto"/>
        <w:ind w:left="403" w:hanging="245"/>
      </w:pPr>
      <w:r>
        <w:rPr>
          <w:b w:val="0"/>
          <w:i w:val="0"/>
        </w:rPr>
        <w:t>Successful protocol events per second, including source repetition rate, detector dead time, classical latency, and calibration duty cycle.</w:t>
      </w:r>
    </w:p>
    <w:p>
      <w:pPr>
        <w:pStyle w:val="ListBullet"/>
        <w:keepLines/>
        <w:widowControl/>
        <w:spacing w:after="90" w:line="264" w:lineRule="auto"/>
        <w:ind w:left="403" w:hanging="245"/>
      </w:pPr>
      <w:r>
        <w:rPr>
          <w:rFonts w:ascii="Aptos" w:hAnsi="Aptos" w:eastAsia="Aptos" w:cs="Aptos"/>
          <w:sz w:val="21"/>
        </w:rPr>
        <w:t>Parameter sensitivity and uncertainty propagation, not just best-case curves.</w:t>
      </w:r>
    </w:p>
    <w:p>
      <w:pPr>
        <w:pStyle w:val="ListBullet"/>
        <w:keepLines/>
        <w:widowControl/>
        <w:spacing w:after="90" w:line="264" w:lineRule="auto"/>
        <w:ind w:left="403" w:hanging="245"/>
      </w:pPr>
      <w:r>
        <w:rPr>
          <w:b w:val="0"/>
          <w:i w:val="0"/>
        </w:rPr>
        <w:t>Resource assumptions, including photon number, qubit coherence time, detector performance, channel loss, stabilization bandwidth, and required hardware.</w:t>
      </w:r>
    </w:p>
    <w:p>
      <w:pPr>
        <w:pStyle w:val="Heading1"/>
        <w:keepNext/>
        <w:keepLines/>
        <w:pageBreakBefore w:val="0"/>
        <w:widowControl/>
      </w:pPr>
      <w:r>
        <w:rPr>
          <w:rFonts w:ascii="Aptos Display" w:hAnsi="Aptos Display" w:eastAsia="Aptos Display" w:cs="Aptos Display"/>
        </w:rPr>
        <w:t>5. Assumptions, Risks, and Limitations</w:t>
      </w:r>
    </w:p>
    <w:p>
      <w:pPr>
        <w:pStyle w:val="Heading2"/>
        <w:keepNext/>
        <w:keepLines/>
        <w:widowControl/>
      </w:pPr>
      <w:r>
        <w:rPr>
          <w:rFonts w:ascii="Aptos Display" w:hAnsi="Aptos Display" w:eastAsia="Aptos Display" w:cs="Aptos Display"/>
        </w:rPr>
        <w:t>5.1 Core technical risks</w:t>
      </w:r>
    </w:p>
    <w:tbl>
      <w:tblPr>
        <w:tblW w:type="auto" w:w="0"/>
        <w:jc w:val="center"/>
        <w:tblLayout w:type="fixed"/>
        <w:tblLook w:firstColumn="1" w:firstRow="1" w:lastColumn="0" w:lastRow="0" w:noHBand="0" w:noVBand="1" w:val="04A0"/>
      </w:tblPr>
      <w:tblGrid>
        <w:gridCol w:w="3389"/>
        <w:gridCol w:w="3389"/>
        <w:gridCol w:w="3389"/>
      </w:tblGrid>
      <w:tr>
        <w:trPr>
          <w:tblHeader w:val="true"/>
          <w:cantSplit/>
        </w:trPr>
        <w:tc>
          <w:tcPr>
            <w:tcW w:type="dxa" w:w="2088"/>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Risk</w:t>
            </w:r>
          </w:p>
        </w:tc>
        <w:tc>
          <w:tcPr>
            <w:tcW w:type="dxa" w:w="3456"/>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Current uncertainty</w:t>
            </w:r>
          </w:p>
        </w:tc>
        <w:tc>
          <w:tcPr>
            <w:tcW w:type="dxa" w:w="4104"/>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b w:val="0"/>
                <w:i w:val="0"/>
              </w:rPr>
              <w:t>Evidence required for advancement</w:t>
            </w:r>
          </w:p>
        </w:tc>
      </w:tr>
      <w:tr>
        <w:trPr>
          <w:cantSplit/>
        </w:trPr>
        <w:tc>
          <w:tcPr>
            <w:tcW w:type="dxa" w:w="208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Physical QM availability</w:t>
            </w:r>
          </w:p>
        </w:tc>
        <w:tc>
          <w:tcPr>
            <w:tcW w:type="dxa" w:w="345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High-performance, controllable QM platforms remain specialized research systems.</w:t>
            </w:r>
          </w:p>
        </w:tc>
        <w:tc>
          <w:tcPr>
            <w:tcW w:type="dxa" w:w="410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Identify a partner platform, realistic reflectivity/phase specifications, control-qubit lifetime, coupling geometry, and measurement access.</w:t>
            </w:r>
          </w:p>
        </w:tc>
      </w:tr>
      <w:tr>
        <w:trPr>
          <w:cantSplit/>
        </w:trPr>
        <w:tc>
          <w:tcPr>
            <w:tcW w:type="dxa" w:w="208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Ideal-to-physical protocol gap</w:t>
            </w:r>
          </w:p>
        </w:tc>
        <w:tc>
          <w:tcPr>
            <w:tcW w:type="dxa" w:w="345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The ideal equations omit several detector, control, and multimode effects.</w:t>
            </w:r>
          </w:p>
        </w:tc>
        <w:tc>
          <w:tcPr>
            <w:tcW w:type="dxa" w:w="410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Independent numerical reproduction followed by calibrated nonideal simulations and uncertainty analysis.</w:t>
            </w:r>
          </w:p>
        </w:tc>
      </w:tr>
      <w:tr>
        <w:trPr>
          <w:cantSplit/>
        </w:trPr>
        <w:tc>
          <w:tcPr>
            <w:tcW w:type="dxa" w:w="208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Long-distance loss and phase stability</w:t>
            </w:r>
          </w:p>
        </w:tc>
        <w:tc>
          <w:tcPr>
            <w:tcW w:type="dxa" w:w="345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Coherent-state links tolerate some loss in theory, but distance claims depend strongly on all channel and node parameters.</w:t>
            </w:r>
          </w:p>
        </w:tc>
        <w:tc>
          <w:tcPr>
            <w:tcW w:type="dxa" w:w="410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End-to-end link budget, phase-noise spectrum, stabilization design, detector model, and rate analysis.</w:t>
            </w:r>
          </w:p>
        </w:tc>
      </w:tr>
      <w:tr>
        <w:trPr>
          <w:cantSplit/>
        </w:trPr>
        <w:tc>
          <w:tcPr>
            <w:tcW w:type="dxa" w:w="208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PIC / atom-array integration</w:t>
            </w:r>
          </w:p>
        </w:tc>
        <w:tc>
          <w:tcPr>
            <w:tcW w:type="dxa" w:w="345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Potentially valuable but not established in this architecture.</w:t>
            </w:r>
          </w:p>
        </w:tc>
        <w:tc>
          <w:tcPr>
            <w:tcW w:type="dxa" w:w="410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Interface study covering wavelength, mode size, packaging, cryogenic/vacuum constraints, loss, and control access.</w:t>
            </w:r>
          </w:p>
        </w:tc>
      </w:tr>
      <w:tr>
        <w:trPr>
          <w:cantSplit/>
        </w:trPr>
        <w:tc>
          <w:tcPr>
            <w:tcW w:type="dxa" w:w="208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Free-space turbulence</w:t>
            </w:r>
          </w:p>
        </w:tc>
        <w:tc>
          <w:tcPr>
            <w:tcW w:type="dxa" w:w="345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Beam wander and wavefront distortion may dominate.</w:t>
            </w:r>
          </w:p>
        </w:tc>
        <w:tc>
          <w:tcPr>
            <w:tcW w:type="dxa" w:w="410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Atmospheric channel model, adaptive-optics simulation, pointing budget, weather envelope, and field-test plan.</w:t>
            </w:r>
          </w:p>
        </w:tc>
      </w:tr>
      <w:tr>
        <w:trPr>
          <w:cantSplit/>
        </w:trPr>
        <w:tc>
          <w:tcPr>
            <w:tcW w:type="dxa" w:w="208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Security interpretation</w:t>
            </w:r>
          </w:p>
        </w:tc>
        <w:tc>
          <w:tcPr>
            <w:tcW w:type="dxa" w:w="345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Quantum networking does not automatically make every layer secure.</w:t>
            </w:r>
          </w:p>
        </w:tc>
        <w:tc>
          <w:tcPr>
            <w:tcW w:type="dxa" w:w="410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Protocol-specific threat model, authentication design, implementation-security review, and composable security proof where applicable.</w:t>
            </w:r>
          </w:p>
        </w:tc>
      </w:tr>
      <w:tr>
        <w:trPr>
          <w:cantSplit/>
        </w:trPr>
        <w:tc>
          <w:tcPr>
            <w:tcW w:type="dxa" w:w="208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Prior-art and contribution boundary</w:t>
            </w:r>
          </w:p>
        </w:tc>
        <w:tc>
          <w:tcPr>
            <w:tcW w:type="dxa" w:w="345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Qalice terminology could obscure the distinction between cited QM physics and Qalice-specific systems engineering.</w:t>
            </w:r>
          </w:p>
        </w:tc>
        <w:tc>
          <w:tcPr>
            <w:tcW w:type="dxa" w:w="410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pPr>
            <w:r>
              <w:rPr>
                <w:b w:val="0"/>
                <w:i w:val="0"/>
              </w:rPr>
              <w:t>Maintain a clear prior-art map and an explicit statement of Qalice-specific engineering contributions.</w:t>
            </w:r>
          </w:p>
        </w:tc>
      </w:tr>
    </w:tbl>
    <w:p>
      <w:pPr>
        <w:widowControl/>
        <w:spacing w:after="80" w:before="0" w:line="20" w:lineRule="exact"/>
      </w:pPr>
      <w:r>
        <w:rPr>
          <w:rFonts w:ascii="Aptos" w:hAnsi="Aptos" w:eastAsia="Aptos" w:cs="Aptos"/>
          <w:sz w:val="2"/>
        </w:rPr>
      </w:r>
    </w:p>
    <w:p>
      <w:pPr>
        <w:pStyle w:val="Heading2"/>
        <w:keepNext/>
        <w:keepLines/>
        <w:widowControl/>
      </w:pPr>
      <w:r>
        <w:rPr>
          <w:rFonts w:ascii="Aptos Display" w:hAnsi="Aptos Display" w:eastAsia="Aptos Display" w:cs="Aptos Display"/>
        </w:rPr>
        <w:t>5.2 Explicit limitations of this document</w:t>
      </w:r>
    </w:p>
    <w:p>
      <w:pPr>
        <w:pStyle w:val="ListBullet"/>
        <w:keepLines/>
        <w:widowControl/>
        <w:spacing w:after="90" w:line="264" w:lineRule="auto"/>
        <w:ind w:left="403" w:hanging="245"/>
      </w:pPr>
      <w:r>
        <w:rPr>
          <w:rFonts w:ascii="Aptos" w:hAnsi="Aptos" w:eastAsia="Aptos" w:cs="Aptos"/>
          <w:sz w:val="21"/>
        </w:rPr>
        <w:t>No original simulation data, laboratory measurements, device specifications, or independent replication results are included yet.</w:t>
      </w:r>
    </w:p>
    <w:p>
      <w:pPr>
        <w:pStyle w:val="ListBullet"/>
        <w:keepLines/>
        <w:widowControl/>
        <w:spacing w:after="90" w:line="264" w:lineRule="auto"/>
        <w:ind w:left="403" w:hanging="245"/>
      </w:pPr>
      <w:r>
        <w:rPr>
          <w:rFonts w:ascii="Aptos" w:hAnsi="Aptos" w:eastAsia="Aptos" w:cs="Aptos"/>
          <w:sz w:val="21"/>
        </w:rPr>
        <w:t>The architecture does not select a final physical platform; atomic arrays, waveguide QED, and superconducting/microwave conditional-scattering systems have different constraints.</w:t>
      </w:r>
    </w:p>
    <w:p>
      <w:pPr>
        <w:pStyle w:val="ListBullet"/>
        <w:keepLines/>
        <w:widowControl/>
        <w:spacing w:after="90" w:line="264" w:lineRule="auto"/>
        <w:ind w:left="403" w:hanging="245"/>
      </w:pPr>
      <w:r>
        <w:t>The qTr / qRe / qReTr terminology is provisional and may evolve as the physical platform, protocol interfaces, and implementation evidence mature.</w:t>
      </w:r>
    </w:p>
    <w:p>
      <w:pPr>
        <w:pStyle w:val="ListBullet"/>
        <w:keepLines/>
        <w:widowControl/>
        <w:spacing w:after="90" w:line="264" w:lineRule="auto"/>
        <w:ind w:left="403" w:hanging="245"/>
      </w:pPr>
      <w:r>
        <w:rPr>
          <w:rFonts w:ascii="Aptos" w:hAnsi="Aptos" w:eastAsia="Aptos" w:cs="Aptos"/>
          <w:sz w:val="21"/>
        </w:rPr>
        <w:t>Applications beyond state transfer, teleportation, entanglement swapping, and state characterization remain speculative until protocol-level models are supplied.</w:t>
      </w:r>
    </w:p>
    <w:p>
      <w:pPr>
        <w:pStyle w:val="ListBullet"/>
        <w:keepLines/>
        <w:widowControl/>
        <w:spacing w:after="90" w:line="264" w:lineRule="auto"/>
        <w:ind w:left="403" w:hanging="245"/>
      </w:pPr>
      <w:r>
        <w:rPr>
          <w:rFonts w:ascii="Aptos" w:hAnsi="Aptos" w:eastAsia="Aptos" w:cs="Aptos"/>
          <w:sz w:val="21"/>
        </w:rPr>
        <w:t>Energy-system claims are separated in Section 9 as a forward-looking classical photonics engineering thesis. They are not inferred from the quantum-mirror protocol and require independent efficiency, safety, thermal, pointing, receiver, and mission validation.</w:t>
      </w:r>
    </w:p>
    <w:p>
      <w:pPr>
        <w:pStyle w:val="Heading2"/>
        <w:keepNext/>
        <w:keepLines/>
        <w:widowControl/>
      </w:pPr>
      <w:r>
        <w:rPr>
          <w:b w:val="0"/>
          <w:i w:val="0"/>
        </w:rPr>
        <w:t>5.3 Scientific interpretation boundaries</w:t>
      </w:r>
    </w:p>
    <w:tbl>
      <w:tblPr>
        <w:tblW w:type="auto" w:w="0"/>
        <w:jc w:val="center"/>
        <w:tblLayout w:type="fixed"/>
        <w:tblLook w:firstColumn="1" w:firstRow="1" w:lastColumn="0" w:lastRow="0" w:noHBand="0" w:noVBand="1" w:val="04A0"/>
      </w:tblPr>
      <w:tblGrid>
        <w:gridCol w:w="5083"/>
        <w:gridCol w:w="5083"/>
      </w:tblGrid>
      <w:tr>
        <w:trPr>
          <w:tblHeader w:val="true"/>
          <w:cantSplit/>
        </w:trPr>
        <w:tc>
          <w:tcPr>
            <w:tcW w:type="dxa" w:w="3600"/>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b w:val="0"/>
                <w:i w:val="0"/>
              </w:rPr>
              <w:t>Topic</w:t>
            </w:r>
          </w:p>
        </w:tc>
        <w:tc>
          <w:tcPr>
            <w:tcW w:type="dxa" w:w="6048"/>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b w:val="0"/>
                <w:i w:val="0"/>
              </w:rPr>
              <w:t>Whitepaper interpretation</w:t>
            </w:r>
          </w:p>
        </w:tc>
      </w:tr>
      <w:tr>
        <w:trPr>
          <w:cantSplit/>
        </w:trPr>
        <w:tc>
          <w:tcPr>
            <w:tcW w:type="dxa" w:w="36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Quantum coherence</w:t>
            </w:r>
          </w:p>
        </w:tc>
        <w:tc>
          <w:tcPr>
            <w:tcW w:type="dxa" w:w="604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A QM conditionally transmits or reflects optical modes according to a control-qubit state. Coherence performance must be quantified for the selected implementation.</w:t>
            </w:r>
          </w:p>
        </w:tc>
      </w:tr>
      <w:tr>
        <w:trPr>
          <w:cantSplit/>
        </w:trPr>
        <w:tc>
          <w:tcPr>
            <w:tcW w:type="dxa" w:w="36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Security</w:t>
            </w:r>
          </w:p>
        </w:tc>
        <w:tc>
          <w:tcPr>
            <w:tcW w:type="dxa" w:w="604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QM-enabled networks may support protocol-specific security functions, subject to authentication, implementation assumptions, and a defined security analysis.</w:t>
            </w:r>
          </w:p>
        </w:tc>
      </w:tr>
      <w:tr>
        <w:trPr>
          <w:cantSplit/>
        </w:trPr>
        <w:tc>
          <w:tcPr>
            <w:tcW w:type="dxa" w:w="36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Causality</w:t>
            </w:r>
          </w:p>
        </w:tc>
        <w:tc>
          <w:tcPr>
            <w:tcW w:type="dxa" w:w="604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Quantum-state protocols require classical communication for usable feed-forward information and obey relativistic causality.</w:t>
            </w:r>
          </w:p>
        </w:tc>
      </w:tr>
      <w:tr>
        <w:trPr>
          <w:cantSplit/>
        </w:trPr>
        <w:tc>
          <w:tcPr>
            <w:tcW w:type="dxa" w:w="36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Distance and deployment</w:t>
            </w:r>
          </w:p>
        </w:tc>
        <w:tc>
          <w:tcPr>
            <w:tcW w:type="dxa" w:w="6048"/>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Distance and rate depend on the complete channel, node, detector, and stabilization model and remain to be validated experimentally.</w:t>
            </w:r>
          </w:p>
        </w:tc>
      </w:tr>
      <w:tr>
        <w:trPr>
          <w:cantSplit/>
        </w:trPr>
        <w:tc>
          <w:tcPr>
            <w:tcW w:type="dxa" w:w="36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Model validity</w:t>
            </w:r>
          </w:p>
        </w:tc>
        <w:tc>
          <w:tcPr>
            <w:tcW w:type="dxa" w:w="6048"/>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Implementation-specific Hamiltonians and scattering models must be tied to measurable parameters and validated against selected hardware.</w:t>
            </w:r>
          </w:p>
        </w:tc>
      </w:tr>
    </w:tbl>
    <w:p>
      <w:pPr>
        <w:widowControl/>
        <w:spacing w:after="80" w:before="0" w:line="20" w:lineRule="exact"/>
      </w:pPr>
      <w:r>
        <w:rPr>
          <w:rFonts w:ascii="Aptos" w:hAnsi="Aptos" w:eastAsia="Aptos" w:cs="Aptos"/>
          <w:sz w:val="2"/>
        </w:rPr>
      </w:r>
    </w:p>
    <w:p>
      <w:pPr>
        <w:pStyle w:val="Heading1"/>
        <w:keepNext/>
        <w:keepLines/>
        <w:widowControl/>
      </w:pPr>
      <w:r>
        <w:rPr>
          <w:b w:val="0"/>
          <w:i w:val="0"/>
        </w:rPr>
        <w:t>6. Research and Validation Roadmap</w:t>
      </w:r>
    </w:p>
    <w:p>
      <w:pPr>
        <w:keepLines w:val="0"/>
        <w:widowControl/>
        <w:spacing w:after="150" w:line="276" w:lineRule="auto"/>
      </w:pPr>
      <w:r>
        <w:rPr>
          <w:b w:val="0"/>
          <w:i w:val="0"/>
        </w:rPr>
        <w:t>The development program is staged so that each technical claim is tied to a reproducible model, dataset, or experiment before deployment conclusions are drawn.</w:t>
      </w:r>
    </w:p>
    <w:p>
      <w:pPr>
        <w:pStyle w:val="Heading2"/>
        <w:keepNext/>
        <w:keepLines/>
        <w:widowControl/>
      </w:pPr>
      <w:r>
        <w:rPr>
          <w:rFonts w:ascii="Aptos Display" w:hAnsi="Aptos Display" w:eastAsia="Aptos Display" w:cs="Aptos Display"/>
        </w:rPr>
        <w:t>6.1 Phase 0 — literature and requirements baseline</w:t>
      </w:r>
    </w:p>
    <w:p>
      <w:pPr>
        <w:pStyle w:val="ListBullet"/>
        <w:keepLines/>
        <w:widowControl/>
        <w:spacing w:after="90" w:line="264" w:lineRule="auto"/>
        <w:ind w:left="403" w:hanging="245"/>
      </w:pPr>
      <w:r>
        <w:rPr>
          <w:rFonts w:ascii="Aptos" w:hAnsi="Aptos" w:eastAsia="Aptos" w:cs="Aptos"/>
          <w:sz w:val="21"/>
        </w:rPr>
        <w:t>Create a structured prior-art map for physical QMs, quantum metasurfaces, conditional scattering, coherent-state teleportation, repeaters, and tomography.</w:t>
      </w:r>
    </w:p>
    <w:p>
      <w:pPr>
        <w:pStyle w:val="ListBullet"/>
        <w:keepLines/>
        <w:widowControl/>
        <w:spacing w:after="90" w:line="264" w:lineRule="auto"/>
        <w:ind w:left="403" w:hanging="245"/>
      </w:pPr>
      <w:r>
        <w:rPr>
          <w:rFonts w:ascii="Aptos" w:hAnsi="Aptos" w:eastAsia="Aptos" w:cs="Aptos"/>
          <w:sz w:val="21"/>
        </w:rPr>
        <w:t>Define the target protocol, physical platform, link type, wavelength, and measurement assumptions.</w:t>
      </w:r>
    </w:p>
    <w:p>
      <w:pPr>
        <w:pStyle w:val="ListBullet"/>
        <w:keepLines/>
        <w:widowControl/>
        <w:spacing w:after="90" w:line="264" w:lineRule="auto"/>
        <w:ind w:left="403" w:hanging="245"/>
      </w:pPr>
      <w:r>
        <w:rPr>
          <w:rFonts w:ascii="Aptos" w:hAnsi="Aptos" w:eastAsia="Aptos" w:cs="Aptos"/>
          <w:sz w:val="21"/>
        </w:rPr>
        <w:t>Freeze notation, units, metrics, and a claim-evidence matrix.</w:t>
      </w:r>
    </w:p>
    <w:p>
      <w:pPr>
        <w:keepLines w:val="0"/>
        <w:widowControl/>
        <w:spacing w:after="150" w:line="276" w:lineRule="auto"/>
      </w:pPr>
      <w:r>
        <w:rPr>
          <w:b w:val="0"/>
          <w:i w:val="0"/>
        </w:rPr>
        <w:t>Milestone: the physical model, notation, contribution boundary, and prior-art map are internally consistent, traceable, and complete enough to support reproducible simulation.</w:t>
      </w:r>
    </w:p>
    <w:p>
      <w:pPr>
        <w:pStyle w:val="Heading2"/>
        <w:keepNext/>
        <w:keepLines/>
        <w:widowControl/>
      </w:pPr>
      <w:r>
        <w:rPr>
          <w:rFonts w:ascii="Aptos Display" w:hAnsi="Aptos Display" w:eastAsia="Aptos Display" w:cs="Aptos Display"/>
        </w:rPr>
        <w:t>6.2 Phase 1 — reproduce the published ideal model</w:t>
      </w:r>
    </w:p>
    <w:p>
      <w:pPr>
        <w:pStyle w:val="ListBullet"/>
        <w:keepLines/>
        <w:widowControl/>
        <w:spacing w:after="90" w:line="264" w:lineRule="auto"/>
        <w:ind w:left="403" w:hanging="245"/>
      </w:pPr>
      <w:r>
        <w:rPr>
          <w:rFonts w:ascii="Aptos" w:hAnsi="Aptos" w:eastAsia="Aptos" w:cs="Aptos"/>
          <w:sz w:val="21"/>
        </w:rPr>
        <w:t>Implement the control qubit plus two bosonic modes with an explicit Fock-basis truncation and convergence test.</w:t>
      </w:r>
    </w:p>
    <w:p>
      <w:pPr>
        <w:pStyle w:val="ListBullet"/>
        <w:keepLines/>
        <w:widowControl/>
        <w:spacing w:after="90" w:line="264" w:lineRule="auto"/>
        <w:ind w:left="403" w:hanging="245"/>
      </w:pPr>
      <w:r>
        <w:rPr>
          <w:rFonts w:ascii="Aptos" w:hAnsi="Aptos" w:eastAsia="Aptos" w:cs="Aptos"/>
          <w:sz w:val="21"/>
        </w:rPr>
        <w:t>Reproduce the ideal success probability and average fidelity curves from Ref. [1].</w:t>
      </w:r>
    </w:p>
    <w:p>
      <w:pPr>
        <w:pStyle w:val="ListBullet"/>
        <w:keepLines/>
        <w:widowControl/>
        <w:spacing w:after="90" w:line="264" w:lineRule="auto"/>
        <w:ind w:left="403" w:hanging="245"/>
      </w:pPr>
      <w:r>
        <w:rPr>
          <w:rFonts w:ascii="Aptos" w:hAnsi="Aptos" w:eastAsia="Aptos" w:cs="Aptos"/>
          <w:sz w:val="21"/>
        </w:rPr>
        <w:t>Document numerical precision, truncation error, random-state sampling, and code provenance.</w:t>
      </w:r>
    </w:p>
    <w:p>
      <w:pPr>
        <w:keepLines w:val="0"/>
        <w:widowControl/>
        <w:spacing w:after="150" w:line="276" w:lineRule="auto"/>
      </w:pPr>
      <w:r>
        <w:rPr>
          <w:b w:val="0"/>
          <w:i w:val="0"/>
        </w:rPr>
        <w:t>Milestone: analytic and numerical results agree within a predefined tolerance, such as 10⁻³ for benchmark quantities over the selected parameter range.</w:t>
      </w:r>
    </w:p>
    <w:p>
      <w:pPr>
        <w:pStyle w:val="Heading2"/>
        <w:keepNext/>
        <w:keepLines/>
        <w:widowControl/>
      </w:pPr>
      <w:r>
        <w:rPr>
          <w:rFonts w:ascii="Aptos Display" w:hAnsi="Aptos Display" w:eastAsia="Aptos Display" w:cs="Aptos Display"/>
        </w:rPr>
        <w:t>6.3 Phase 2 — non-ideal digital twin</w:t>
      </w:r>
    </w:p>
    <w:p>
      <w:pPr>
        <w:pStyle w:val="ListBullet"/>
        <w:keepNext/>
        <w:keepLines/>
        <w:widowControl/>
        <w:spacing w:after="90" w:line="264" w:lineRule="auto"/>
        <w:ind w:left="403" w:hanging="245"/>
      </w:pPr>
      <w:r>
        <w:rPr>
          <w:rFonts w:ascii="Aptos" w:hAnsi="Aptos" w:eastAsia="Aptos" w:cs="Aptos"/>
          <w:sz w:val="21"/>
        </w:rPr>
        <w:t>Add optical loss, phase mismatch, imperfect reflectivity/transmissivity, detector efficiency, dark counts, mode mismatch, and control-qubit errors one at a time and in combination.</w:t>
      </w:r>
    </w:p>
    <w:p>
      <w:pPr>
        <w:pStyle w:val="ListBullet"/>
        <w:keepNext/>
        <w:keepLines/>
        <w:widowControl/>
        <w:spacing w:after="90" w:line="264" w:lineRule="auto"/>
        <w:ind w:left="403" w:hanging="245"/>
      </w:pPr>
      <w:r>
        <w:rPr>
          <w:rFonts w:ascii="Aptos" w:hAnsi="Aptos" w:eastAsia="Aptos" w:cs="Aptos"/>
          <w:sz w:val="21"/>
        </w:rPr>
        <w:t>Perform sensitivity analysis and uncertainty propagation, including worst-case and realistic parameter sets.</w:t>
      </w:r>
    </w:p>
    <w:p>
      <w:pPr>
        <w:pStyle w:val="ListBullet"/>
        <w:keepNext/>
        <w:keepLines/>
        <w:widowControl/>
        <w:spacing w:after="90" w:line="264" w:lineRule="auto"/>
        <w:ind w:left="403" w:hanging="245"/>
      </w:pPr>
      <w:r>
        <w:rPr>
          <w:rFonts w:ascii="Aptos" w:hAnsi="Aptos" w:eastAsia="Aptos" w:cs="Aptos"/>
          <w:sz w:val="21"/>
        </w:rPr>
        <w:t>Report success, conditional fidelity, unconditional fidelity, rate, and parameter confidence intervals.</w:t>
      </w:r>
    </w:p>
    <w:p>
      <w:pPr>
        <w:keepLines w:val="0"/>
        <w:widowControl/>
        <w:spacing w:after="150" w:line="276" w:lineRule="auto"/>
      </w:pPr>
      <w:r>
        <w:rPr>
          <w:b w:val="0"/>
          <w:i w:val="0"/>
        </w:rPr>
        <w:t>Milestone: the parameter model passes consistency and sensitivity checks, and the viable operating region remains credible under combined nonidealities and uncertainty bounds.</w:t>
      </w:r>
    </w:p>
    <w:p>
      <w:pPr>
        <w:pStyle w:val="Heading2"/>
        <w:keepNext/>
        <w:keepLines/>
        <w:widowControl/>
      </w:pPr>
      <w:r>
        <w:rPr>
          <w:rFonts w:ascii="Aptos Display" w:hAnsi="Aptos Display" w:eastAsia="Aptos Display" w:cs="Aptos Display"/>
        </w:rPr>
        <w:t>6.4 Phase 3 — optical control and measurement testbed</w:t>
      </w:r>
    </w:p>
    <w:p>
      <w:pPr>
        <w:pStyle w:val="ListBullet"/>
        <w:keepLines/>
        <w:widowControl/>
        <w:spacing w:after="90" w:line="264" w:lineRule="auto"/>
        <w:ind w:left="403" w:hanging="245"/>
      </w:pPr>
      <w:r>
        <w:rPr>
          <w:b w:val="0"/>
          <w:i w:val="0"/>
        </w:rPr>
        <w:t>Build a classical or semiclassical optical surrogate to validate timing, mode routing, phase stabilization, detector logic, telemetry, and free-space pointing or adaptive-optics controls.</w:t>
      </w:r>
    </w:p>
    <w:p>
      <w:pPr>
        <w:pStyle w:val="ListBullet"/>
        <w:keepLines/>
        <w:widowControl/>
        <w:spacing w:after="90" w:line="264" w:lineRule="auto"/>
        <w:ind w:left="403" w:hanging="245"/>
      </w:pPr>
      <w:r>
        <w:rPr>
          <w:rFonts w:ascii="Aptos" w:hAnsi="Aptos" w:eastAsia="Aptos" w:cs="Aptos"/>
          <w:sz w:val="21"/>
        </w:rPr>
        <w:t>Treat this as control-system validation only; do not label it a physical QM demonstration.</w:t>
      </w:r>
    </w:p>
    <w:p>
      <w:pPr>
        <w:keepLines w:val="0"/>
        <w:widowControl/>
        <w:spacing w:after="150" w:line="276" w:lineRule="auto"/>
      </w:pPr>
      <w:r>
        <w:rPr>
          <w:b w:val="0"/>
          <w:i w:val="0"/>
        </w:rPr>
        <w:t>Milestone: repeatable calibration and measurement workflows with quantified drift, loss, timing, and mode-overlap performance.</w:t>
      </w:r>
    </w:p>
    <w:p>
      <w:pPr>
        <w:pStyle w:val="Heading2"/>
        <w:keepNext/>
        <w:keepLines/>
        <w:pageBreakBefore w:val="0"/>
        <w:widowControl/>
      </w:pPr>
      <w:r>
        <w:rPr>
          <w:b w:val="0"/>
          <w:i w:val="0"/>
        </w:rPr>
        <w:t>6.5 Phase 4 — physical-QM laboratory validation</w:t>
      </w:r>
    </w:p>
    <w:p>
      <w:pPr>
        <w:pStyle w:val="ListBullet"/>
        <w:keepNext/>
        <w:keepLines/>
        <w:widowControl/>
        <w:spacing w:after="90" w:line="264" w:lineRule="auto"/>
        <w:ind w:left="403" w:hanging="245"/>
      </w:pPr>
      <w:r>
        <w:rPr>
          <w:rFonts w:ascii="Aptos" w:hAnsi="Aptos" w:eastAsia="Aptos" w:cs="Aptos"/>
          <w:sz w:val="21"/>
        </w:rPr>
        <w:t>Agree on a minimal experiment that tests one conditional-scattering transformation and its characterization before attempting a network protocol.</w:t>
      </w:r>
    </w:p>
    <w:p>
      <w:pPr>
        <w:pStyle w:val="ListBullet"/>
        <w:keepNext/>
        <w:keepLines/>
        <w:widowControl/>
        <w:spacing w:after="90" w:line="264" w:lineRule="auto"/>
        <w:ind w:left="403" w:hanging="245"/>
      </w:pPr>
      <w:r>
        <w:rPr>
          <w:rFonts w:ascii="Aptos" w:hAnsi="Aptos" w:eastAsia="Aptos" w:cs="Aptos"/>
          <w:sz w:val="21"/>
        </w:rPr>
        <w:t>Develop shared data formats, calibration procedures, authorship/attribution terms, and independent analysis.</w:t>
      </w:r>
    </w:p>
    <w:p>
      <w:pPr>
        <w:pStyle w:val="ListBullet"/>
        <w:keepNext/>
        <w:keepLines/>
        <w:widowControl/>
        <w:spacing w:after="90" w:line="264" w:lineRule="auto"/>
        <w:ind w:left="403" w:hanging="245"/>
      </w:pPr>
      <w:r>
        <w:rPr>
          <w:rFonts w:ascii="Aptos" w:hAnsi="Aptos" w:eastAsia="Aptos" w:cs="Aptos"/>
          <w:sz w:val="21"/>
        </w:rPr>
        <w:t>Progress to two-node state transfer or teleportation only after the single-node transformation and measurement model are validated.</w:t>
      </w:r>
    </w:p>
    <w:p>
      <w:pPr>
        <w:keepLines w:val="0"/>
        <w:widowControl/>
        <w:spacing w:after="150" w:line="276" w:lineRule="auto"/>
      </w:pPr>
      <w:r>
        <w:rPr>
          <w:b w:val="0"/>
          <w:i w:val="0"/>
        </w:rPr>
        <w:t>Milestone: independently reproducible experimental evidence with documented methods, uncertainty analysis, data-access terms, and a clearly bounded result.</w:t>
      </w:r>
    </w:p>
    <w:p>
      <w:pPr>
        <w:pStyle w:val="Heading2"/>
        <w:keepNext/>
        <w:keepLines/>
        <w:widowControl/>
      </w:pPr>
      <w:r>
        <w:t>6.6 Development deliverables</w:t>
      </w:r>
    </w:p>
    <w:tbl>
      <w:tblPr>
        <w:tblW w:type="auto" w:w="0"/>
        <w:jc w:val="center"/>
        <w:tblLayout w:type="fixed"/>
        <w:tblLook w:firstColumn="1" w:firstRow="1" w:lastColumn="0" w:lastRow="0" w:noHBand="0" w:noVBand="1" w:val="04A0"/>
      </w:tblPr>
      <w:tblGrid>
        <w:gridCol w:w="3389"/>
        <w:gridCol w:w="3389"/>
        <w:gridCol w:w="3389"/>
      </w:tblGrid>
      <w:tr>
        <w:trPr>
          <w:tblHeader w:val="true"/>
          <w:cantSplit/>
        </w:trPr>
        <w:tc>
          <w:tcPr>
            <w:tcW w:type="dxa" w:w="2232"/>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Deliverable</w:t>
            </w:r>
          </w:p>
        </w:tc>
        <w:tc>
          <w:tcPr>
            <w:tcW w:type="dxa" w:w="4752"/>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Minimum contents</w:t>
            </w:r>
          </w:p>
        </w:tc>
        <w:tc>
          <w:tcPr>
            <w:tcW w:type="dxa" w:w="2664"/>
            <w:shd w:fill="171717"/>
            <w:tcMar>
              <w:top w:w="90" w:type="dxa"/>
              <w:bottom w:w="90" w:type="dxa"/>
              <w:left w:w="140" w:type="dxa"/>
              <w:right w:w="140" w:type="dxa"/>
              <w:start w:w="105" w:type="dxa"/>
              <w:end w:w="105" w:type="dxa"/>
            </w:tcMar>
            <w:vAlign w:val="center"/>
          </w:tcPr>
          <w:p>
            <w:pPr>
              <w:widowControl/>
              <w:spacing w:after="90" w:line="259" w:lineRule="auto"/>
            </w:pPr>
            <w:r>
              <w:rPr>
                <w:b w:val="0"/>
                <w:i w:val="0"/>
              </w:rPr>
              <w:t>Completion criterion</w:t>
            </w:r>
          </w:p>
        </w:tc>
      </w:tr>
      <w:tr>
        <w:trPr>
          <w:cantSplit/>
        </w:trPr>
        <w:tc>
          <w:tcPr>
            <w:tcW w:type="dxa" w:w="223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D1. Scientific model specification</w:t>
            </w:r>
          </w:p>
        </w:tc>
        <w:tc>
          <w:tcPr>
            <w:tcW w:type="dxa" w:w="475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Hilbert spaces, transformations, channel models, measurement operators, assumptions, notation, and references.</w:t>
            </w:r>
          </w:p>
        </w:tc>
        <w:tc>
          <w:tcPr>
            <w:tcW w:type="dxa" w:w="266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pPr>
            <w:r/>
            <w:r>
              <w:t>Every equation maps to a defined physical operation, parameter, and measurable output.</w:t>
            </w:r>
          </w:p>
        </w:tc>
      </w:tr>
      <w:tr>
        <w:trPr>
          <w:cantSplit/>
        </w:trPr>
        <w:tc>
          <w:tcPr>
            <w:tcW w:type="dxa" w:w="2232"/>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D2. Reproducible simulation repository</w:t>
            </w:r>
          </w:p>
        </w:tc>
        <w:tc>
          <w:tcPr>
            <w:tcW w:type="dxa" w:w="4752"/>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Versioned code, environment, tests, benchmark data, parameter files, and figure-generation scripts.</w:t>
            </w:r>
          </w:p>
        </w:tc>
        <w:tc>
          <w:tcPr>
            <w:tcW w:type="dxa" w:w="266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pPr>
            <w:r/>
            <w:r>
              <w:t>An independent environment can reproduce the ideal benchmark curves and numerical tolerances.</w:t>
            </w:r>
          </w:p>
        </w:tc>
      </w:tr>
      <w:tr>
        <w:trPr>
          <w:cantSplit/>
        </w:trPr>
        <w:tc>
          <w:tcPr>
            <w:tcW w:type="dxa" w:w="223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D3. Non-ideal sensitivity report</w:t>
            </w:r>
          </w:p>
        </w:tc>
        <w:tc>
          <w:tcPr>
            <w:tcW w:type="dxa" w:w="475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Loss, phase, reflectivity, detector, qubit, and mode-overlap sweeps with uncertainty.</w:t>
            </w:r>
          </w:p>
        </w:tc>
        <w:tc>
          <w:tcPr>
            <w:tcW w:type="dxa" w:w="266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pPr>
            <w:r/>
            <w:r>
              <w:t>Dominant parameters, uncertainty bounds, and experimentally credible operating regions are identified.</w:t>
            </w:r>
          </w:p>
        </w:tc>
      </w:tr>
      <w:tr>
        <w:trPr>
          <w:cantSplit/>
        </w:trPr>
        <w:tc>
          <w:tcPr>
            <w:tcW w:type="dxa" w:w="2232"/>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D4. Node and interface specification</w:t>
            </w:r>
          </w:p>
        </w:tc>
        <w:tc>
          <w:tcPr>
            <w:tcW w:type="dxa" w:w="4752"/>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Logical roles, timing, optical and classical interfaces, calibration, telemetry, and safety.</w:t>
            </w:r>
          </w:p>
        </w:tc>
        <w:tc>
          <w:tcPr>
            <w:tcW w:type="dxa" w:w="2664"/>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pPr>
            <w:r/>
            <w:r>
              <w:t>The architecture supports implementation without overstating the underlying physics or maturity.</w:t>
            </w:r>
          </w:p>
        </w:tc>
      </w:tr>
      <w:tr>
        <w:trPr>
          <w:cantSplit/>
        </w:trPr>
        <w:tc>
          <w:tcPr>
            <w:tcW w:type="dxa" w:w="223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D5. Experimental collaboration plan</w:t>
            </w:r>
          </w:p>
        </w:tc>
        <w:tc>
          <w:tcPr>
            <w:tcW w:type="dxa" w:w="475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Minimal test, required equipment, partner responsibilities, data plan, and publication/attribution boundaries.</w:t>
            </w:r>
          </w:p>
        </w:tc>
        <w:tc>
          <w:tcPr>
            <w:tcW w:type="dxa" w:w="266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pPr>
            <w:r>
              <w:rPr>
                <w:b w:val="0"/>
                <w:i w:val="0"/>
              </w:rPr>
              <w:t>The proposed experiment is technically feasible, scientifically meaningful, and governed by clear data, authorship, and attribution terms.</w:t>
            </w:r>
          </w:p>
        </w:tc>
      </w:tr>
      <w:tr>
        <w:trPr>
          <w:cantSplit/>
        </w:trPr>
        <w:tc>
          <w:tcPr>
            <w:tcW w:type="dxa" w:w="223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D6. IBM Quantum execution service</w:t>
            </w:r>
          </w:p>
        </w:tc>
        <w:tc>
          <w:tcPr>
            <w:tcW w:type="dxa" w:w="475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Server-side IAM exchange, fixed reviewed experiments, backend discovery, job submission, status/result retrieval, and experiment manifests.</w:t>
            </w:r>
          </w:p>
        </w:tc>
        <w:tc>
          <w:tcPr>
            <w:tcW w:type="dxa" w:w="266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pPr>
            <w:r>
              <w:rPr>
                <w:b w:val="0"/>
                <w:i w:val="0"/>
              </w:rPr>
              <w:t>No credential reaches the browser; a documented local reference run and at least one authorized IBM job can be reproduced from stored metadata.</w:t>
            </w:r>
          </w:p>
        </w:tc>
      </w:tr>
      <w:tr>
        <w:trPr>
          <w:cantSplit/>
        </w:trPr>
        <w:tc>
          <w:tcPr>
            <w:tcW w:type="dxa" w:w="223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D7. Astro Qalice optical-energy model</w:t>
            </w:r>
          </w:p>
        </w:tc>
        <w:tc>
          <w:tcPr>
            <w:tcW w:type="dxa" w:w="475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End-to-end laser power-beaming budget, pointing/capture model, wavelength-matched receiver, thermal model, safety envelope, and mission scenarios.</w:t>
            </w:r>
          </w:p>
        </w:tc>
        <w:tc>
          <w:tcPr>
            <w:tcW w:type="dxa" w:w="2664"/>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pPr>
            <w:r>
              <w:rPr>
                <w:b w:val="0"/>
                <w:i w:val="0"/>
              </w:rPr>
              <w:t>A laboratory or field demonstrator closes a measured efficiency budget with uncertainty and does not conflate optical power transfer with quantum mirroring.</w:t>
            </w:r>
          </w:p>
        </w:tc>
      </w:tr>
    </w:tbl>
    <w:p>
      <w:pPr>
        <w:widowControl/>
        <w:spacing w:after="80" w:before="0" w:line="20" w:lineRule="exact"/>
      </w:pPr>
      <w:r>
        <w:rPr>
          <w:rFonts w:ascii="Aptos" w:hAnsi="Aptos" w:eastAsia="Aptos" w:cs="Aptos"/>
          <w:sz w:val="2"/>
        </w:rPr>
      </w:r>
    </w:p>
    <w:p>
      <w:pPr>
        <w:pStyle w:val="Heading1"/>
        <w:keepNext/>
        <w:keepLines/>
        <w:widowControl/>
      </w:pPr>
      <w:r>
        <w:rPr>
          <w:b w:val="0"/>
          <w:i w:val="0"/>
        </w:rPr>
        <w:t>7. Research Applications and Development Boundaries</w:t>
      </w:r>
    </w:p>
    <w:p>
      <w:pPr>
        <w:pStyle w:val="Heading2"/>
        <w:keepNext/>
        <w:keepLines/>
        <w:widowControl/>
      </w:pPr>
      <w:r>
        <w:rPr>
          <w:rFonts w:ascii="Aptos Display" w:hAnsi="Aptos Display" w:eastAsia="Aptos Display" w:cs="Aptos Display"/>
        </w:rPr>
        <w:t>7.1 Near-term research uses</w:t>
      </w:r>
    </w:p>
    <w:p>
      <w:pPr>
        <w:pStyle w:val="ListBullet"/>
        <w:keepLines/>
        <w:widowControl/>
        <w:spacing w:after="90" w:line="264" w:lineRule="auto"/>
        <w:ind w:left="403" w:hanging="245"/>
      </w:pPr>
      <w:r>
        <w:rPr>
          <w:b w:val="0"/>
          <w:i w:val="0"/>
        </w:rPr>
        <w:t>Reproducible numerical studies of QM-based teleportation, state transfer, and entanglement swapping.</w:t>
      </w:r>
    </w:p>
    <w:p>
      <w:pPr>
        <w:pStyle w:val="ListBullet"/>
        <w:keepLines/>
        <w:widowControl/>
        <w:spacing w:after="90" w:line="264" w:lineRule="auto"/>
        <w:ind w:left="403" w:hanging="245"/>
      </w:pPr>
      <w:r>
        <w:rPr>
          <w:b w:val="0"/>
          <w:i w:val="0"/>
        </w:rPr>
        <w:t>Control-plane and telemetry design for experiments that evaluate quantum-controlled optical scatterers.</w:t>
      </w:r>
    </w:p>
    <w:p>
      <w:pPr>
        <w:pStyle w:val="ListBullet"/>
        <w:keepLines/>
        <w:widowControl/>
        <w:spacing w:after="90" w:line="264" w:lineRule="auto"/>
        <w:ind w:left="403" w:hanging="245"/>
      </w:pPr>
      <w:r>
        <w:rPr>
          <w:b w:val="0"/>
          <w:i w:val="0"/>
        </w:rPr>
        <w:t>Comparison of fiber, free-space, waveguide, and integrated-photonic interfaces using common channel and detector metrics.</w:t>
      </w:r>
    </w:p>
    <w:p>
      <w:pPr>
        <w:pStyle w:val="ListBullet"/>
        <w:keepLines/>
        <w:widowControl/>
        <w:spacing w:after="90" w:line="264" w:lineRule="auto"/>
        <w:ind w:left="403" w:hanging="245"/>
      </w:pPr>
      <w:r>
        <w:rPr>
          <w:rFonts w:ascii="Aptos" w:hAnsi="Aptos" w:eastAsia="Aptos" w:cs="Aptos"/>
          <w:sz w:val="21"/>
        </w:rPr>
        <w:t>Quantum-state characterization workflows, informed by emerging work on QM-enabled continuous-variable tomography [7].</w:t>
      </w:r>
    </w:p>
    <w:p>
      <w:pPr>
        <w:pStyle w:val="Heading2"/>
        <w:keepNext/>
        <w:keepLines/>
        <w:widowControl/>
      </w:pPr>
      <w:r>
        <w:rPr>
          <w:rFonts w:ascii="Aptos Display" w:hAnsi="Aptos Display" w:eastAsia="Aptos Display" w:cs="Aptos Display"/>
        </w:rPr>
        <w:t>7.2 Longer-term conditional applications</w:t>
      </w:r>
    </w:p>
    <w:p>
      <w:pPr>
        <w:keepLines w:val="0"/>
        <w:widowControl/>
        <w:spacing w:after="150" w:line="276" w:lineRule="auto"/>
      </w:pPr>
      <w:r>
        <w:rPr>
          <w:b w:val="0"/>
          <w:i w:val="0"/>
        </w:rPr>
        <w:t>With successful experimental validation, QM-enabled nodes could contribute to distributed quantum processing, remote quantum-state transfer, repeater-like operations, networked sensing, or quantum-state tomography. Each application requires a dedicated protocol, hardware assumptions, rate and fidelity analysis, and, where relevant, a security model. These capabilities do not follow automatically from the existence of a QM node.</w:t>
      </w:r>
    </w:p>
    <w:p>
      <w:pPr>
        <w:pStyle w:val="Heading2"/>
        <w:keepNext/>
        <w:keepLines/>
        <w:widowControl/>
      </w:pPr>
      <w:r>
        <w:t>7.3 Out-of-scope claims at the current stage</w:t>
      </w:r>
    </w:p>
    <w:p>
      <w:pPr>
        <w:pStyle w:val="ListBullet"/>
        <w:keepNext/>
        <w:keepLines/>
        <w:widowControl/>
        <w:spacing w:after="90" w:line="264" w:lineRule="auto"/>
        <w:ind w:left="403" w:hanging="245"/>
      </w:pPr>
      <w:r>
        <w:rPr>
          <w:rFonts w:ascii="Aptos" w:hAnsi="Aptos" w:eastAsia="Aptos" w:cs="Aptos"/>
          <w:sz w:val="21"/>
        </w:rPr>
        <w:t>Commercial deployment timelines, cost savings, energy reductions, global coverage, and enterprise service-level guarantees.</w:t>
      </w:r>
    </w:p>
    <w:p>
      <w:pPr>
        <w:pStyle w:val="ListBullet"/>
        <w:keepNext/>
        <w:keepLines/>
        <w:widowControl/>
        <w:spacing w:after="90" w:line="264" w:lineRule="auto"/>
        <w:ind w:left="403" w:hanging="245"/>
      </w:pPr>
      <w:r>
        <w:rPr>
          <w:rFonts w:ascii="Aptos" w:hAnsi="Aptos" w:eastAsia="Aptos" w:cs="Aptos"/>
          <w:sz w:val="21"/>
        </w:rPr>
        <w:t>Post-quantum cryptography claims unrelated to the physical quantum-network protocol.</w:t>
      </w:r>
    </w:p>
    <w:p>
      <w:pPr>
        <w:pStyle w:val="ListBullet"/>
        <w:keepNext/>
        <w:keepLines/>
        <w:widowControl/>
        <w:spacing w:after="90" w:line="264" w:lineRule="auto"/>
        <w:ind w:left="403" w:hanging="245"/>
      </w:pPr>
      <w:r>
        <w:rPr>
          <w:rFonts w:ascii="Aptos" w:hAnsi="Aptos" w:eastAsia="Aptos" w:cs="Aptos"/>
          <w:sz w:val="21"/>
        </w:rPr>
        <w:t>General quantum computing acceleration without a defined processor architecture and workload.</w:t>
      </w:r>
    </w:p>
    <w:p>
      <w:pPr>
        <w:pStyle w:val="ListBullet"/>
        <w:keepLines/>
        <w:widowControl/>
        <w:spacing w:after="90" w:line="264" w:lineRule="auto"/>
        <w:ind w:left="403" w:hanging="245"/>
      </w:pPr>
      <w:r>
        <w:t>Any claim of endorsement, affiliation, or institutional support without written authorization.</w:t>
      </w:r>
    </w:p>
    <w:p>
      <w:pPr>
        <w:pStyle w:val="Heading1"/>
        <w:keepNext/>
        <w:keepLines/>
        <w:pageBreakBefore w:val="0"/>
        <w:widowControl/>
      </w:pPr>
      <w:r>
        <w:t>8. Implementation Architecture and IBM Quantum Integration</w:t>
      </w:r>
    </w:p>
    <w:p>
      <w:pPr>
        <w:keepLines w:val="0"/>
        <w:widowControl/>
        <w:spacing w:after="150" w:line="276" w:lineRule="auto"/>
      </w:pPr>
      <w:r>
        <w:rPr>
          <w:b w:val="0"/>
          <w:i w:val="0"/>
        </w:rPr>
        <w:t>Qalice now defines an executable reference architecture rather than only a descriptive roadmap. The implementation separates three evidence layers: an exact local gate-model reference, a non-ideal digital twin for optical and control-system parameters, and authorized IBM Quantum hardware jobs for bounded gate-model validation. Results from one layer must not be represented as evidence for another.</w:t>
      </w:r>
    </w:p>
    <w:p>
      <w:pPr>
        <w:pStyle w:val="Heading2"/>
        <w:keepNext/>
        <w:keepLines/>
        <w:widowControl/>
      </w:pPr>
      <w:r>
        <w:rPr>
          <w:rFonts w:ascii="Aptos Display" w:hAnsi="Aptos Display" w:eastAsia="Aptos Display" w:cs="Aptos Display"/>
        </w:rPr>
        <w:t>8.1 Execution boundary and platform fit</w:t>
      </w:r>
    </w:p>
    <w:p>
      <w:pPr>
        <w:keepLines w:val="0"/>
        <w:widowControl/>
        <w:spacing w:after="150" w:line="276" w:lineRule="auto"/>
      </w:pPr>
      <w:r>
        <w:rPr>
          <w:b w:val="0"/>
          <w:i w:val="0"/>
        </w:rPr>
        <w:t>IBM Quantum systems are superconducting gate-model processors, not photonic quantum mirrors. They are appropriate for validating control-qubit subcircuits, Bell-state preparation, teleportation identities, tomography methods, sampling behavior, and device-noise baselines. Coherent optical states, bosonic loss channels, conditional optical scattering, and quantum-metasurface physics require a separate photonic or open-system simulator and ultimately a laboratory platform.</w:t>
      </w:r>
    </w:p>
    <w:p>
      <w:pPr>
        <w:keepLines w:val="0"/>
        <w:widowControl/>
        <w:spacing w:after="150" w:line="276" w:lineRule="auto"/>
      </w:pPr>
      <w:r>
        <w:rPr>
          <w:b w:val="0"/>
          <w:i w:val="0"/>
        </w:rPr>
        <w:t>The first deployed Qalice reference service therefore pairs a deterministic Bell-state simulator and analytical ideal-mirror benchmark with an optional IBM Runtime adapter. The local path remains available without credentials; IBM execution is enabled only when the operator stores an API key and instance CRN as server-side secrets.</w:t>
      </w:r>
    </w:p>
    <w:p>
      <w:pPr>
        <w:pStyle w:val="Heading2"/>
        <w:keepNext/>
        <w:keepLines/>
        <w:widowControl/>
      </w:pPr>
      <w:r>
        <w:rPr>
          <w:rFonts w:ascii="Aptos Display" w:hAnsi="Aptos Display" w:eastAsia="Aptos Display" w:cs="Aptos Display"/>
        </w:rPr>
        <w:t>8.2 Secure IBM Runtime service</w:t>
      </w:r>
    </w:p>
    <w:p>
      <w:pPr>
        <w:keepLines w:val="0"/>
        <w:widowControl/>
        <w:spacing w:after="150" w:line="276" w:lineRule="auto"/>
      </w:pPr>
      <w:r>
        <w:rPr>
          <w:b w:val="0"/>
          <w:i w:val="0"/>
        </w:rPr>
        <w:t>The server exchanges the stored IBM Cloud API key for a short-lived IAM bearer token, sends the instance CRN and pinned IBM-API-Version header, and calls the Qiskit Runtime REST API. The browser never receives the API key, bearer token, or CRN. Tokens are cached only in server memory until shortly before expiration and are not written to source, logs, browser storage, or experiment results [14].</w:t>
      </w:r>
    </w:p>
    <w:p>
      <w:pPr>
        <w:keepLines w:val="0"/>
        <w:widowControl/>
        <w:spacing w:after="150" w:line="276" w:lineRule="auto"/>
      </w:pPr>
      <w:r>
        <w:rPr>
          <w:b w:val="0"/>
          <w:i w:val="0"/>
        </w:rPr>
        <w:t>The public interface accepts only named, reviewed experiments and validated backend or job identifiers. It does not accept arbitrary OpenQASM from the browser. Initial hardware execution uses IBM Runtime V2 primitives and an explicitly fixed single-qubit Z-calibration circuit, while more complex circuits must pass backend-specific transpilation, layout, and review before exposure [14, 15].</w:t>
      </w:r>
    </w:p>
    <w:p>
      <w:pPr>
        <w:pStyle w:val="Heading2"/>
        <w:keepNext/>
        <w:keepLines/>
        <w:widowControl/>
      </w:pPr>
      <w:r>
        <w:rPr>
          <w:rFonts w:ascii="Aptos Display" w:hAnsi="Aptos Display" w:eastAsia="Aptos Display" w:cs="Aptos Display"/>
        </w:rPr>
        <w:t>8.3 Initial reproducible experiment set</w:t>
      </w:r>
    </w:p>
    <w:p>
      <w:pPr>
        <w:pStyle w:val="ListBullet"/>
        <w:keepLines/>
        <w:widowControl/>
        <w:spacing w:after="90" w:line="264" w:lineRule="auto"/>
        <w:ind w:left="403" w:hanging="245"/>
      </w:pPr>
      <w:r>
        <w:rPr>
          <w:b w:val="0"/>
          <w:i w:val="0"/>
        </w:rPr>
        <w:t>Local Bell-state reference: apply H to q0, CX from q0 to q1, and report finite-shot counts against the exact P(00) = P(11) = 1/2 distribution.</w:t>
      </w:r>
    </w:p>
    <w:p>
      <w:pPr>
        <w:pStyle w:val="ListBullet"/>
        <w:keepLines/>
        <w:widowControl/>
        <w:spacing w:after="90" w:line="264" w:lineRule="auto"/>
        <w:ind w:left="403" w:hanging="245"/>
      </w:pPr>
      <w:r>
        <w:rPr>
          <w:b w:val="0"/>
          <w:i w:val="0"/>
        </w:rPr>
        <w:t>Ideal quantum-mirror benchmark: reproduce Pₛ = 1 − exp(−n̄) and the associated unconditional average-fidelity relation used in Section 4, with parameter bounds and convergence checks.</w:t>
      </w:r>
    </w:p>
    <w:p>
      <w:pPr>
        <w:pStyle w:val="ListBullet"/>
        <w:keepLines/>
        <w:widowControl/>
        <w:spacing w:after="90" w:line="264" w:lineRule="auto"/>
        <w:ind w:left="403" w:hanging="245"/>
      </w:pPr>
      <w:r>
        <w:rPr>
          <w:b w:val="0"/>
          <w:i w:val="0"/>
        </w:rPr>
        <w:t>IBM Z-calibration job: submit a fixed Runtime V2 Estimator experiment to an operator-selected accessible backend and preserve the returned job identifier, state, result, and usage metadata.</w:t>
      </w:r>
    </w:p>
    <w:p>
      <w:pPr>
        <w:pStyle w:val="ListBullet"/>
        <w:keepLines/>
        <w:widowControl/>
        <w:spacing w:after="90" w:line="264" w:lineRule="auto"/>
        <w:ind w:left="403" w:hanging="245"/>
      </w:pPr>
      <w:r>
        <w:rPr>
          <w:b w:val="0"/>
          <w:i w:val="0"/>
        </w:rPr>
        <w:t>Hardware Bell and teleportation references: add only after ISA transpilation, physical-qubit layout, measurement mapping, shot count, and device-calibration provenance are recorded.</w:t>
      </w:r>
    </w:p>
    <w:p>
      <w:pPr>
        <w:pStyle w:val="ListBullet"/>
        <w:keepLines/>
        <w:widowControl/>
        <w:spacing w:after="90" w:line="264" w:lineRule="auto"/>
        <w:ind w:left="403" w:hanging="245"/>
      </w:pPr>
      <w:r>
        <w:rPr>
          <w:b w:val="0"/>
          <w:i w:val="0"/>
        </w:rPr>
        <w:t>Photonic digital twin: model coherent-state truncation, scattering amplitudes, bosonic loss, phase drift, detector response, mode overlap, and qubit decoherence outside the IBM QPU path.</w:t>
      </w:r>
    </w:p>
    <w:p>
      <w:pPr>
        <w:pStyle w:val="Heading2"/>
        <w:keepNext/>
        <w:keepLines/>
        <w:widowControl/>
      </w:pPr>
      <w:r>
        <w:rPr>
          <w:rFonts w:ascii="Aptos Display" w:hAnsi="Aptos Display" w:eastAsia="Aptos Display" w:cs="Aptos Display"/>
        </w:rPr>
        <w:t>8.4 Experiment manifest and provenance</w:t>
      </w:r>
    </w:p>
    <w:p>
      <w:pPr>
        <w:keepLines w:val="0"/>
        <w:widowControl/>
        <w:spacing w:after="150" w:line="276" w:lineRule="auto"/>
      </w:pPr>
      <w:r>
        <w:rPr>
          <w:b w:val="0"/>
          <w:i w:val="0"/>
        </w:rPr>
        <w:t>Each run must record an immutable experiment identifier; code commit; circuit or model hash; engine and version; backend and instance region; primitive version and options; shot count or target precision; transpilation seed and physical layout where applicable; parameter file; device-calibration timestamp; submitted, started, and completed timestamps; IBM job identifier; raw result pointer; normalized result; uncertainty method; and a plain-language evidence label of proposed, simulated, hardware-executed, or measured.</w:t>
      </w:r>
    </w:p>
    <w:p>
      <w:pPr>
        <w:keepLines w:val="0"/>
        <w:widowControl/>
        <w:spacing w:after="150" w:line="276" w:lineRule="auto"/>
      </w:pPr>
      <w:r>
        <w:rPr>
          <w:b w:val="0"/>
          <w:i w:val="0"/>
        </w:rPr>
        <w:t>A successful API response is not a scientific result by itself. Acceptance requires reproducibility, expected-value checks, uncertainty or confidence intervals, complete failure reporting, and a comparison between analytical, local-simulator, noise-model, and hardware outputs without suppressing unfavorable runs.</w:t>
      </w:r>
    </w:p>
    <w:p>
      <w:pPr>
        <w:pStyle w:val="Heading2"/>
        <w:keepNext/>
        <w:keepLines/>
        <w:widowControl/>
      </w:pPr>
      <w:r>
        <w:rPr>
          <w:rFonts w:ascii="Aptos Display" w:hAnsi="Aptos Display" w:eastAsia="Aptos Display" w:cs="Aptos Display"/>
        </w:rPr>
        <w:t>8.5 Initial acceptance criteria</w:t>
      </w:r>
    </w:p>
    <w:p>
      <w:pPr>
        <w:pStyle w:val="ListBullet"/>
        <w:keepLines/>
        <w:widowControl/>
        <w:spacing w:after="90" w:line="264" w:lineRule="auto"/>
        <w:ind w:left="403" w:hanging="245"/>
      </w:pPr>
      <w:r>
        <w:rPr>
          <w:b w:val="0"/>
          <w:i w:val="0"/>
        </w:rPr>
        <w:t>The local Bell-state distribution agrees with the exact distribution within the finite-shot binomial interval and produces the same seeded result for the same manifest.</w:t>
      </w:r>
    </w:p>
    <w:p>
      <w:pPr>
        <w:pStyle w:val="ListBullet"/>
        <w:keepLines/>
        <w:widowControl/>
        <w:spacing w:after="90" w:line="264" w:lineRule="auto"/>
        <w:ind w:left="403" w:hanging="245"/>
      </w:pPr>
      <w:r>
        <w:rPr>
          <w:b w:val="0"/>
          <w:i w:val="0"/>
        </w:rPr>
        <w:t>The ideal mirror benchmark reproduces the documented values at n̄ = 4 within 10⁻³.</w:t>
      </w:r>
    </w:p>
    <w:p>
      <w:pPr>
        <w:pStyle w:val="ListBullet"/>
        <w:keepLines/>
        <w:widowControl/>
        <w:spacing w:after="90" w:line="264" w:lineRule="auto"/>
        <w:ind w:left="403" w:hanging="245"/>
      </w:pPr>
      <w:r>
        <w:rPr>
          <w:b w:val="0"/>
          <w:i w:val="0"/>
        </w:rPr>
        <w:t>An authorized IBM instance can list its accessible backends, accept the fixed reviewed job, return job state, and retrieve results without exposing a credential to the client.</w:t>
      </w:r>
    </w:p>
    <w:p>
      <w:pPr>
        <w:pStyle w:val="ListBullet"/>
        <w:keepLines/>
        <w:widowControl/>
        <w:spacing w:after="90" w:line="264" w:lineRule="auto"/>
        <w:ind w:left="403" w:hanging="245"/>
      </w:pPr>
      <w:r>
        <w:rPr>
          <w:b w:val="0"/>
          <w:i w:val="0"/>
        </w:rPr>
        <w:t>All UI and exported results state that IBM hardware validates gate-model references rather than a photonic quantum-mirror device.</w:t>
      </w:r>
    </w:p>
    <w:p>
      <w:pPr>
        <w:pStyle w:val="Heading1"/>
        <w:keepNext/>
        <w:keepLines/>
        <w:pageBreakBefore w:val="0"/>
        <w:widowControl/>
      </w:pPr>
      <w:r>
        <w:t>9. Astro Qalice: Laser and Photonic Energy Infrastructure</w:t>
      </w:r>
    </w:p>
    <w:p>
      <w:pPr>
        <w:keepLines w:val="0"/>
        <w:widowControl/>
        <w:spacing w:after="150" w:line="276" w:lineRule="auto"/>
      </w:pPr>
      <w:r>
        <w:rPr>
          <w:b w:val="0"/>
          <w:i w:val="0"/>
        </w:rPr>
        <w:t>astro.qalice.com is proposed as the specialist research surface for classical laser and photonic energy transport in future space exploration and resource operations. The thesis is that directed optical energy may become a flexible logistics layer for remote assets when cables, local sunlight, fuel delivery, or onboard generation are constrained. This is a conditional engineering program, not a claim of demonstrated commercial efficiency.</w:t>
      </w:r>
    </w:p>
    <w:p>
      <w:pPr>
        <w:pStyle w:val="Heading2"/>
        <w:keepNext/>
        <w:keepLines/>
        <w:widowControl/>
      </w:pPr>
      <w:r>
        <w:rPr>
          <w:rFonts w:ascii="Aptos Display" w:hAnsi="Aptos Display" w:eastAsia="Aptos Display" w:cs="Aptos Display"/>
        </w:rPr>
        <w:t>9.1 Physical scope and terminology</w:t>
      </w:r>
    </w:p>
    <w:p>
      <w:pPr>
        <w:keepLines w:val="0"/>
        <w:widowControl/>
        <w:spacing w:after="150" w:line="276" w:lineRule="auto"/>
      </w:pPr>
      <w:r>
        <w:rPr>
          <w:b w:val="0"/>
          <w:i w:val="0"/>
        </w:rPr>
        <w:t>Astro Qalice concerns classical optical power beaming: electrical input drives a wavelength-controlled laser; pointing and relay optics propagate the beam; a receiver aperture captures it; a wavelength-matched photovoltaic or thermal converter returns useful electrical or thermal power. This process is not quantum teleportation, does not transfer matter, and does not create energy.</w:t>
      </w:r>
    </w:p>
    <w:p>
      <w:pPr>
        <w:keepLines w:val="0"/>
        <w:widowControl/>
        <w:spacing w:after="150" w:line="276" w:lineRule="auto"/>
      </w:pPr>
      <w:r>
        <w:rPr>
          <w:b w:val="0"/>
          <w:i w:val="0"/>
        </w:rPr>
        <w:t>NASA has investigated laser power beaming for lunar rovers, permanently shadowed regions, lunar-night survival, orbital-to-surface energy delivery, and Venus surface missions. These studies establish credible mission motivations while also showing that range, diffraction, atmospheric absorption, pointing, receiver area, conversion efficiency, and thermal rejection can dominate feasibility [16–18].</w:t>
      </w:r>
    </w:p>
    <w:p>
      <w:pPr>
        <w:pStyle w:val="Heading2"/>
        <w:keepNext/>
        <w:keepLines/>
        <w:widowControl/>
      </w:pPr>
      <w:r>
        <w:rPr>
          <w:rFonts w:ascii="Aptos Display" w:hAnsi="Aptos Display" w:eastAsia="Aptos Display" w:cs="Aptos Display"/>
        </w:rPr>
        <w:t>9.2 End-to-end energy model</w:t>
      </w:r>
    </w:p>
    <w:p>
      <w:pPr>
        <w:keepLines w:val="0"/>
        <w:widowControl/>
        <w:spacing w:after="150" w:line="276" w:lineRule="auto"/>
      </w:pPr>
      <w:r>
        <w:rPr>
          <w:b w:val="0"/>
          <w:i w:val="0"/>
        </w:rPr>
        <w:t>The governing metric is useful delivered energy, not transmitter output. Qalice defines ηend-to-end = ηsource × ηlaser × ηoptics × ηpropagation × ηcapture × ηreceiver × ηstorage. Each factor must be measured or bounded with uncertainty, and the analysis must include transmitter and receiver thermal loads, aperture mass, duty cycle, pointing loss, degradation, safety interlocks, and asset availability.</w:t>
      </w:r>
    </w:p>
    <w:p>
      <w:pPr>
        <w:keepLines w:val="0"/>
        <w:widowControl/>
        <w:spacing w:after="150" w:line="276" w:lineRule="auto"/>
      </w:pPr>
      <w:r>
        <w:rPr>
          <w:b w:val="0"/>
          <w:i w:val="0"/>
        </w:rPr>
        <w:t>A complete optical link budget specifies wavelength; transmitter power and electrical-to-optical efficiency; beam quality and divergence; transmit and receive aperture; range and geometry; pointing, acquisition, and tracking error; obscuration and surface contamination; atmospheric transmission when applicable; receiver spectral response and optical-to-electrical efficiency; storage and power-conditioning losses; rejected heat; and safe behavior during loss of lock.</w:t>
      </w:r>
    </w:p>
    <w:p>
      <w:pPr>
        <w:pStyle w:val="Heading2"/>
        <w:keepNext/>
        <w:keepLines/>
        <w:widowControl/>
      </w:pPr>
      <w:r>
        <w:rPr>
          <w:rFonts w:ascii="Aptos Display" w:hAnsi="Aptos Display" w:eastAsia="Aptos Display" w:cs="Aptos Display"/>
        </w:rPr>
        <w:t>9.3 Candidate space-mining and exploration roles</w:t>
      </w:r>
    </w:p>
    <w:p>
      <w:pPr>
        <w:pStyle w:val="ListBullet"/>
        <w:keepLines/>
        <w:widowControl/>
        <w:spacing w:after="90" w:line="264" w:lineRule="auto"/>
        <w:ind w:left="403" w:hanging="245"/>
      </w:pPr>
      <w:r>
        <w:rPr>
          <w:b w:val="0"/>
          <w:i w:val="0"/>
        </w:rPr>
        <w:t>Deliver power from illuminated ridges or orbital assets to prospectors and rovers operating in permanently shadowed lunar regions.</w:t>
      </w:r>
    </w:p>
    <w:p>
      <w:pPr>
        <w:pStyle w:val="ListBullet"/>
        <w:keepLines/>
        <w:widowControl/>
        <w:spacing w:after="90" w:line="264" w:lineRule="auto"/>
        <w:ind w:left="403" w:hanging="245"/>
      </w:pPr>
      <w:r>
        <w:rPr>
          <w:b w:val="0"/>
          <w:i w:val="0"/>
        </w:rPr>
        <w:t>Route energy among distributed excavation, sensing, beneficiation, volatile-handling, and in-situ resource-utilization equipment without relocating the primary generator.</w:t>
      </w:r>
    </w:p>
    <w:p>
      <w:pPr>
        <w:pStyle w:val="ListBullet"/>
        <w:keepLines/>
        <w:widowControl/>
        <w:spacing w:after="90" w:line="264" w:lineRule="auto"/>
        <w:ind w:left="403" w:hanging="245"/>
      </w:pPr>
      <w:r>
        <w:rPr>
          <w:b w:val="0"/>
          <w:i w:val="0"/>
        </w:rPr>
        <w:t>Provide scheduled power to surface science stations, navigation beacons, communications relays, thermal-control systems, and emergency loads during local generation shortfalls.</w:t>
      </w:r>
    </w:p>
    <w:p>
      <w:pPr>
        <w:pStyle w:val="ListBullet"/>
        <w:keepLines/>
        <w:widowControl/>
        <w:spacing w:after="90" w:line="264" w:lineRule="auto"/>
        <w:ind w:left="403" w:hanging="245"/>
      </w:pPr>
      <w:r>
        <w:rPr>
          <w:b w:val="0"/>
          <w:i w:val="0"/>
        </w:rPr>
        <w:t>Evaluate space-to-space optical energy transfer for servicing, staging, and mobile assets where line-of-sight, pointing, and receiver geometry support a favorable link budget.</w:t>
      </w:r>
    </w:p>
    <w:p>
      <w:pPr>
        <w:pStyle w:val="Heading2"/>
        <w:keepNext/>
        <w:keepLines/>
        <w:widowControl/>
      </w:pPr>
      <w:r>
        <w:rPr>
          <w:rFonts w:ascii="Aptos Display" w:hAnsi="Aptos Display" w:eastAsia="Aptos Display" w:cs="Aptos Display"/>
        </w:rPr>
        <w:t>9.4 Constraints and safety case</w:t>
      </w:r>
    </w:p>
    <w:p>
      <w:pPr>
        <w:keepLines w:val="0"/>
        <w:widowControl/>
        <w:spacing w:after="150" w:line="276" w:lineRule="auto"/>
      </w:pPr>
      <w:r>
        <w:rPr>
          <w:b w:val="0"/>
          <w:i w:val="0"/>
        </w:rPr>
        <w:t>Laser power beaming introduces hazards to people, sensors, vehicles, and unintended targets. Any demonstrator requires positive target identification, redundant beam inhibit paths, exclusion-zone logic, maximum permissible exposure analysis, fail-safe shuttering, independent telemetry, cybersecurity for pointing commands, and an abort path that does not depend on the primary control channel.</w:t>
      </w:r>
    </w:p>
    <w:p>
      <w:pPr>
        <w:keepLines w:val="0"/>
        <w:widowControl/>
        <w:spacing w:after="150" w:line="276" w:lineRule="auto"/>
      </w:pPr>
      <w:r>
        <w:rPr>
          <w:b w:val="0"/>
          <w:i w:val="0"/>
        </w:rPr>
        <w:t>The current NASA TechPort record notes that realized end-to-end efficiency in many existing systems remains below the level needed for broad viability and identifies diffraction as a central obstacle [17]. Qalice must therefore report measured total-system efficiency and delivered watt-hours, not component peak efficiency or projected laser power alone.</w:t>
      </w:r>
    </w:p>
    <w:p>
      <w:pPr>
        <w:pStyle w:val="Heading2"/>
        <w:keepNext/>
        <w:keepLines/>
        <w:widowControl/>
      </w:pPr>
      <w:r>
        <w:rPr>
          <w:rFonts w:ascii="Aptos Display" w:hAnsi="Aptos Display" w:eastAsia="Aptos Display" w:cs="Aptos Display"/>
        </w:rPr>
        <w:t>9.5 Validation roadmap</w:t>
      </w:r>
    </w:p>
    <w:p>
      <w:pPr>
        <w:pStyle w:val="ListBullet"/>
        <w:keepLines/>
        <w:widowControl/>
        <w:spacing w:after="90" w:line="264" w:lineRule="auto"/>
        <w:ind w:left="403" w:hanging="245"/>
      </w:pPr>
      <w:r>
        <w:rPr>
          <w:b w:val="0"/>
          <w:i w:val="0"/>
        </w:rPr>
        <w:t>Stage A — benchtop closure: demonstrate a guarded, low-power link and reconcile electrical input, optical output, captured optical power, delivered electrical power, and rejected heat.</w:t>
      </w:r>
    </w:p>
    <w:p>
      <w:pPr>
        <w:pStyle w:val="ListBullet"/>
        <w:keepLines/>
        <w:widowControl/>
        <w:spacing w:after="90" w:line="264" w:lineRule="auto"/>
        <w:ind w:left="403" w:hanging="245"/>
      </w:pPr>
      <w:r>
        <w:rPr>
          <w:b w:val="0"/>
          <w:i w:val="0"/>
        </w:rPr>
        <w:t>Stage B — pointing and distance: add acquisition, tracking, turbulence or vacuum-path surrogates, motion, contamination, and automatic beam inhibit; publish the complete loss budget.</w:t>
      </w:r>
    </w:p>
    <w:p>
      <w:pPr>
        <w:pStyle w:val="ListBullet"/>
        <w:keepLines/>
        <w:widowControl/>
        <w:spacing w:after="90" w:line="264" w:lineRule="auto"/>
        <w:ind w:left="403" w:hanging="245"/>
      </w:pPr>
      <w:r>
        <w:rPr>
          <w:b w:val="0"/>
          <w:i w:val="0"/>
        </w:rPr>
        <w:t>Stage C — mission digital twin: model lunar surface-to-surface, orbit-to-surface, and space-to-space scenarios with realistic apertures, mass, thermal systems, duty cycles, and uncertainty.</w:t>
      </w:r>
    </w:p>
    <w:p>
      <w:pPr>
        <w:pStyle w:val="ListBullet"/>
        <w:keepLines/>
        <w:widowControl/>
        <w:spacing w:after="90" w:line="264" w:lineRule="auto"/>
        <w:ind w:left="403" w:hanging="245"/>
      </w:pPr>
      <w:r>
        <w:rPr>
          <w:b w:val="0"/>
          <w:i w:val="0"/>
        </w:rPr>
        <w:t>Stage D — analog field demonstrator: power a representative rover or processing load over a controlled path while independently measuring safety, availability, end-to-end efficiency, and delivered energy.</w:t>
      </w:r>
    </w:p>
    <w:p>
      <w:pPr>
        <w:pStyle w:val="ListBullet"/>
        <w:keepLines/>
        <w:widowControl/>
        <w:spacing w:after="90" w:line="264" w:lineRule="auto"/>
        <w:ind w:left="403" w:hanging="245"/>
      </w:pPr>
      <w:r>
        <w:rPr>
          <w:b w:val="0"/>
          <w:i w:val="0"/>
        </w:rPr>
        <w:t>Stage E — flight partnership: advance only after an external safety review, mission owner, spectrum and regulatory review, hardware qualification plan, and independently reproducible ground evidence are in place.</w:t>
      </w:r>
    </w:p>
    <w:p>
      <w:pPr>
        <w:pStyle w:val="Heading2"/>
        <w:keepNext/>
        <w:keepLines/>
        <w:widowControl/>
      </w:pPr>
      <w:r>
        <w:rPr>
          <w:rFonts w:ascii="Aptos Display" w:hAnsi="Aptos Display" w:eastAsia="Aptos Display" w:cs="Aptos Display"/>
        </w:rPr>
        <w:t>9.6 Relationship to the Qalice quantum program</w:t>
      </w:r>
    </w:p>
    <w:p>
      <w:pPr>
        <w:keepLines w:val="0"/>
        <w:widowControl/>
        <w:spacing w:after="150" w:line="276" w:lineRule="auto"/>
      </w:pPr>
      <w:r>
        <w:rPr>
          <w:b w:val="0"/>
          <w:i w:val="0"/>
        </w:rPr>
        <w:t>Quantum networking, optical communications, adaptive optics, and power beaming may share lasers, photonic integrated circuits, pointing systems, timing, telemetry, and control software. Their measured quantities remain different: quantum-state fidelity and entanglement metrics for the quantum program; bit error rate and link availability for communications; and delivered power, efficiency, thermal load, and safety performance for Astro Qalice. Shared infrastructure does not make the underlying claims interchangeable.</w:t>
      </w:r>
    </w:p>
    <w:p>
      <w:pPr>
        <w:pStyle w:val="Heading1"/>
        <w:keepNext/>
        <w:keepLines/>
        <w:pageBreakBefore w:val="0"/>
        <w:widowControl/>
      </w:pPr>
      <w:r>
        <w:t>10. Conclusion</w:t>
      </w:r>
    </w:p>
    <w:p>
      <w:pPr>
        <w:keepNext/>
        <w:keepLines w:val="0"/>
        <w:widowControl/>
        <w:spacing w:after="150" w:line="276" w:lineRule="auto"/>
      </w:pPr>
      <w:r>
        <w:rPr>
          <w:b w:val="0"/>
          <w:i w:val="0"/>
        </w:rPr>
        <w:t>Qalice defines a disciplined research and engineering framework for translating quantum-mirror theory into testable network components. Its near-term value lies in reproducible local simulation, securely bounded IBM Quantum reference execution, realistic photonic and detector modeling, explicit node and control interfaces, and evidence-producing laboratory collaboration. Astro Qalice extends the same evidence discipline to classical laser power beaming for future space energy logistics without conflating that program with quantum mirroring.</w:t>
      </w:r>
    </w:p>
    <w:p>
      <w:pPr>
        <w:keepLines w:val="0"/>
        <w:widowControl/>
        <w:spacing w:after="150" w:line="276" w:lineRule="auto"/>
      </w:pPr>
      <w:r>
        <w:rPr>
          <w:b w:val="0"/>
          <w:i w:val="0"/>
        </w:rPr>
        <w:t>By maintaining explicit assumptions, traceable equations, measurable interfaces, and staged validation criteria, Qalice can mature from a conceptual architecture into a reproducible experimental program. Performance, security, distance, and deployment claims remain contingent on the corresponding model and measurement evidence.</w:t>
      </w:r>
    </w:p>
    <w:p>
      <w:pPr>
        <w:pStyle w:val="Heading1"/>
        <w:keepNext/>
        <w:keepLines/>
        <w:pageBreakBefore/>
        <w:widowControl/>
      </w:pPr>
      <w:r>
        <w:rPr>
          <w:b w:val="0"/>
          <w:i w:val="0"/>
        </w:rPr>
        <w:t>Appendix A — Symbols, Metrics, and Reporting Checklist</w:t>
      </w:r>
    </w:p>
    <w:p>
      <w:pPr>
        <w:pStyle w:val="Heading2"/>
        <w:keepNext/>
        <w:keepLines/>
        <w:widowControl/>
      </w:pPr>
      <w:r>
        <w:t>A.1 Core symbols</w:t>
      </w:r>
    </w:p>
    <w:tbl>
      <w:tblPr>
        <w:tblW w:type="auto" w:w="0"/>
        <w:jc w:val="center"/>
        <w:tblLayout w:type="fixed"/>
        <w:tblLook w:firstColumn="1" w:firstRow="1" w:lastColumn="0" w:lastRow="0" w:noHBand="0" w:noVBand="1" w:val="04A0"/>
      </w:tblPr>
      <w:tblGrid>
        <w:gridCol w:w="3389"/>
        <w:gridCol w:w="3389"/>
        <w:gridCol w:w="3389"/>
      </w:tblGrid>
      <w:tr>
        <w:trPr>
          <w:tblHeader w:val="true"/>
          <w:cantSplit/>
        </w:trPr>
        <w:tc>
          <w:tcPr>
            <w:tcW w:type="dxa" w:w="1800"/>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Symbol</w:t>
            </w:r>
          </w:p>
        </w:tc>
        <w:tc>
          <w:tcPr>
            <w:tcW w:type="dxa" w:w="3096"/>
            <w:shd w:fill="171717"/>
            <w:tcMar>
              <w:top w:w="90" w:type="dxa"/>
              <w:bottom w:w="90" w:type="dxa"/>
              <w:left w:w="140" w:type="dxa"/>
              <w:right w:w="140" w:type="dxa"/>
              <w:start w:w="105" w:type="dxa"/>
              <w:end w:w="105" w:type="dxa"/>
            </w:tcMar>
            <w:vAlign w:val="center"/>
          </w:tcPr>
          <w:p>
            <w:pPr>
              <w:widowControl/>
              <w:spacing w:after="90" w:before="0" w:line="259" w:lineRule="auto"/>
              <w:jc w:val="left"/>
            </w:pPr>
            <w:r>
              <w:rPr>
                <w:rFonts w:ascii="Aptos" w:hAnsi="Aptos" w:eastAsia="Aptos" w:cs="Aptos"/>
                <w:b/>
                <w:color w:val="FFFFFF"/>
                <w:sz w:val="16"/>
              </w:rPr>
              <w:t>Definition / unit</w:t>
            </w:r>
          </w:p>
        </w:tc>
        <w:tc>
          <w:tcPr>
            <w:tcW w:type="dxa" w:w="5112"/>
            <w:shd w:fill="171717"/>
            <w:tcMar>
              <w:top w:w="90" w:type="dxa"/>
              <w:bottom w:w="90" w:type="dxa"/>
              <w:left w:w="140" w:type="dxa"/>
              <w:right w:w="140" w:type="dxa"/>
              <w:start w:w="105" w:type="dxa"/>
              <w:end w:w="105" w:type="dxa"/>
            </w:tcMar>
            <w:vAlign w:val="center"/>
          </w:tcPr>
          <w:p>
            <w:pPr>
              <w:widowControl/>
              <w:spacing w:after="90" w:line="259" w:lineRule="auto"/>
            </w:pPr>
            <w:r/>
            <w:r>
              <w:t>Implementation note</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c</w:t>
            </w:r>
          </w:p>
        </w:tc>
        <w:tc>
          <w:tcPr>
            <w:tcW w:type="dxa" w:w="309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Control qubit associated with the physical QM.</w:t>
            </w:r>
          </w:p>
        </w:tc>
        <w:tc>
          <w:tcPr>
            <w:tcW w:type="dxa" w:w="511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Specify basis, preparation, measurement, T₁/T₂, and control errors for a selected platform.</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|α⟩, |β⟩</w:t>
            </w:r>
          </w:p>
        </w:tc>
        <w:tc>
          <w:tcPr>
            <w:tcW w:type="dxa" w:w="309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Coherent states in optical modes 1 and 2.</w:t>
            </w:r>
          </w:p>
        </w:tc>
        <w:tc>
          <w:tcPr>
            <w:tcW w:type="dxa" w:w="5112"/>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Specify amplitude, phase, wavelength, bandwidth, polarization, and spatial mode.</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n̄ = |α|²</w:t>
            </w:r>
          </w:p>
        </w:tc>
        <w:tc>
          <w:tcPr>
            <w:tcW w:type="dxa" w:w="309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Mean photon number.</w:t>
            </w:r>
          </w:p>
        </w:tc>
        <w:tc>
          <w:tcPr>
            <w:tcW w:type="dxa" w:w="511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Report transmitter and receiver values and all loss assumptions.</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ηch</w:t>
            </w:r>
          </w:p>
        </w:tc>
        <w:tc>
          <w:tcPr>
            <w:tcW w:type="dxa" w:w="309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Optical channel transmission to the detector input, dimensionless.</w:t>
            </w:r>
          </w:p>
        </w:tc>
        <w:tc>
          <w:tcPr>
            <w:tcW w:type="dxa" w:w="5112"/>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Break out propagation, coupling, device, and filtering components; report ηd separately.</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δ</w:t>
            </w:r>
          </w:p>
        </w:tc>
        <w:tc>
          <w:tcPr>
            <w:tcW w:type="dxa" w:w="309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Relative optical phase mismatch, radians.</w:t>
            </w:r>
          </w:p>
        </w:tc>
        <w:tc>
          <w:tcPr>
            <w:tcW w:type="dxa" w:w="511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Connect to path-length stability and phase-lock bandwidth.</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Pₛ</w:t>
            </w:r>
          </w:p>
        </w:tc>
        <w:tc>
          <w:tcPr>
            <w:tcW w:type="dxa" w:w="309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Protocol success probability.</w:t>
            </w:r>
          </w:p>
        </w:tc>
        <w:tc>
          <w:tcPr>
            <w:tcW w:type="dxa" w:w="5112"/>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Define accepted outcomes, detector model, and postselection.</w:t>
            </w:r>
          </w:p>
        </w:tc>
      </w:tr>
      <w:tr>
        <w:trPr>
          <w:cantSplit/>
        </w:trPr>
        <w:tc>
          <w:tcPr>
            <w:tcW w:type="dxa" w:w="1800"/>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F̄</w:t>
            </w:r>
          </w:p>
        </w:tc>
        <w:tc>
          <w:tcPr>
            <w:tcW w:type="dxa" w:w="3096"/>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Average state fidelity.</w:t>
            </w:r>
          </w:p>
        </w:tc>
        <w:tc>
          <w:tcPr>
            <w:tcW w:type="dxa" w:w="5112"/>
            <w:tcMar>
              <w:top w:w="90" w:type="dxa"/>
              <w:bottom w:w="90" w:type="dxa"/>
              <w:left w:w="135" w:type="dxa"/>
              <w:right w:w="135" w:type="dxa"/>
              <w:start w:w="105" w:type="dxa"/>
              <w:end w:w="105" w:type="dxa"/>
            </w:tcMar>
            <w:vAlign w:val="center"/>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State whether conditional or unconditional and how input states are sampled.</w:t>
            </w:r>
          </w:p>
        </w:tc>
      </w:tr>
      <w:tr>
        <w:trPr>
          <w:cantSplit/>
        </w:trPr>
        <w:tc>
          <w:tcPr>
            <w:tcW w:type="dxa" w:w="1800"/>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b w:val="0"/>
                <w:i w:val="0"/>
              </w:rPr>
              <w:t>M</w:t>
            </w:r>
          </w:p>
        </w:tc>
        <w:tc>
          <w:tcPr>
            <w:tcW w:type="dxa" w:w="3096"/>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Mode-overlap or visibility parameter.</w:t>
            </w:r>
          </w:p>
        </w:tc>
        <w:tc>
          <w:tcPr>
            <w:tcW w:type="dxa" w:w="5112"/>
            <w:tcMar>
              <w:top w:w="90" w:type="dxa"/>
              <w:bottom w:w="90" w:type="dxa"/>
              <w:left w:w="135" w:type="dxa"/>
              <w:right w:w="135" w:type="dxa"/>
              <w:start w:w="105" w:type="dxa"/>
              <w:end w:w="105" w:type="dxa"/>
            </w:tcMar>
            <w:vAlign w:val="center"/>
            <w:shd w:fill="FAFAFB"/>
            <w:tcBorders>
              <w:top w:val="single" w:sz="4" w:color="D9DDE3"/>
              <w:bottom w:val="single" w:sz="4" w:color="D9DDE3"/>
              <w:left w:val="single" w:sz="4" w:color="D9DDE3"/>
              <w:right w:val="single" w:sz="4" w:color="D9DDE3"/>
            </w:tcBorders>
          </w:tcPr>
          <w:p>
            <w:pPr>
              <w:widowControl/>
              <w:spacing w:after="90" w:line="259" w:lineRule="auto" w:before="0"/>
            </w:pPr>
            <w:r>
              <w:rPr>
                <w:rFonts w:ascii="Aptos" w:hAnsi="Aptos" w:eastAsia="Aptos" w:cs="Aptos"/>
                <w:sz w:val="16"/>
              </w:rPr>
              <w:t>Define spatial, spectral, temporal, and polarization contributions.</w:t>
            </w:r>
          </w:p>
        </w:tc>
      </w:tr>
    </w:tbl>
    <w:p>
      <w:pPr>
        <w:widowControl/>
        <w:spacing w:after="80" w:before="0" w:line="20" w:lineRule="exact"/>
      </w:pPr>
      <w:r>
        <w:rPr>
          <w:rFonts w:ascii="Aptos" w:hAnsi="Aptos" w:eastAsia="Aptos" w:cs="Aptos"/>
          <w:sz w:val="2"/>
        </w:rPr>
      </w:r>
    </w:p>
    <w:p>
      <w:pPr>
        <w:pStyle w:val="Heading2"/>
        <w:keepNext/>
        <w:keepLines/>
        <w:widowControl/>
      </w:pPr>
      <w:r>
        <w:rPr>
          <w:b w:val="0"/>
          <w:i w:val="0"/>
        </w:rPr>
        <w:t>A.2 Technical reporting checklist</w:t>
      </w:r>
    </w:p>
    <w:p>
      <w:pPr>
        <w:keepLines/>
        <w:spacing w:before="0" w:after="44" w:line="240" w:lineRule="auto"/>
      </w:pPr>
      <w:r>
        <w:rPr>
          <w:sz w:val="18"/>
        </w:rPr>
        <w:t>☐  Qalice-specific statements are identified as proposed, simulated, measured, or externally reported.</w:t>
      </w:r>
    </w:p>
    <w:p>
      <w:pPr>
        <w:keepLines/>
        <w:spacing w:before="0" w:after="44" w:line="240" w:lineRule="auto"/>
      </w:pPr>
      <w:r>
        <w:rPr>
          <w:sz w:val="18"/>
        </w:rPr>
        <w:t>☐  Every equation maps to a cited source, documented derivation, or explicitly labeled engineering model.</w:t>
      </w:r>
    </w:p>
    <w:p>
      <w:pPr>
        <w:keepLines/>
        <w:spacing w:before="0" w:after="44" w:line="240" w:lineRule="auto"/>
      </w:pPr>
      <w:r>
        <w:rPr>
          <w:sz w:val="18"/>
        </w:rPr>
        <w:t>☐  Parameters include units, physical meaning, assumed ranges, and uncertainty.</w:t>
      </w:r>
    </w:p>
    <w:p>
      <w:pPr>
        <w:keepLines/>
        <w:spacing w:before="0" w:after="44" w:line="240" w:lineRule="auto"/>
      </w:pPr>
      <w:r>
        <w:rPr>
          <w:sz w:val="18"/>
        </w:rPr>
        <w:t>☐  Conditional and unconditional fidelities are defined separately.</w:t>
      </w:r>
    </w:p>
    <w:p>
      <w:pPr>
        <w:keepLines/>
        <w:spacing w:before="0" w:after="44" w:line="240" w:lineRule="auto"/>
      </w:pPr>
      <w:r>
        <w:rPr>
          <w:sz w:val="18"/>
        </w:rPr>
        <w:t>☐  Classical communication, feed-forward, authentication, and timing requirements are explicit.</w:t>
      </w:r>
    </w:p>
    <w:p>
      <w:pPr>
        <w:keepLines/>
        <w:spacing w:before="0" w:after="44" w:line="240" w:lineRule="auto"/>
      </w:pPr>
      <w:r>
        <w:rPr>
          <w:sz w:val="18"/>
        </w:rPr>
        <w:t>☐  PICs and adaptive optics are treated as candidate engineering components rather than proven coherence mechanisms.</w:t>
      </w:r>
    </w:p>
    <w:p>
      <w:pPr>
        <w:keepLines/>
        <w:spacing w:before="0" w:after="44" w:line="240" w:lineRule="auto"/>
      </w:pPr>
      <w:r>
        <w:rPr>
          <w:sz w:val="18"/>
        </w:rPr>
        <w:t>☐  Security, distance, and rate statements include the complete protocol, channel, detector, and timing assumptions.</w:t>
      </w:r>
    </w:p>
    <w:p>
      <w:pPr>
        <w:keepLines/>
        <w:spacing w:before="0" w:after="44" w:line="240" w:lineRule="auto"/>
      </w:pPr>
      <w:r>
        <w:rPr>
          <w:sz w:val="18"/>
        </w:rPr>
        <w:t>☐  Prior art, cited results, Qalice contributions, and institutional relationships are clearly distinguished.</w:t>
      </w:r>
    </w:p>
    <w:p>
      <w:pPr>
        <w:pStyle w:val="Heading1"/>
        <w:keepNext/>
        <w:keepLines/>
        <w:pageBreakBefore/>
        <w:widowControl/>
      </w:pPr>
      <w:r>
        <w:rPr>
          <w:b w:val="0"/>
          <w:i w:val="0"/>
        </w:rPr>
        <w:t>Appendix B — Mathematical Reference Model</w:t>
      </w:r>
    </w:p>
    <w:p>
      <w:pPr>
        <w:keepLines w:val="0"/>
        <w:widowControl/>
        <w:spacing w:line="276" w:lineRule="auto" w:after="170"/>
      </w:pPr>
      <w:r>
        <w:rPr>
          <w:b w:val="0"/>
          <w:i w:val="0"/>
        </w:rPr>
        <w:t>This appendix collects the equations used throughout the whitepaper and distinguishes established identities from Qalice engineering models. Equation 1 remains the defining ideal quantum-mirror transformation. Each additional equation is included only where it maps to a named component, parameter, or measurement.</w:t>
      </w:r>
    </w:p>
    <w:tbl>
      <w:tblPr>
        <w:tblW w:type="auto" w:w="0"/>
        <w:jc w:val="center"/>
        <w:tblLayout w:type="fixed"/>
        <w:tblLook w:firstColumn="1" w:firstRow="1" w:lastColumn="0" w:lastRow="0" w:noHBand="0" w:noVBand="1" w:val="04A0"/>
      </w:tblPr>
      <w:tblGrid>
        <w:gridCol w:w="10080"/>
      </w:tblGrid>
      <w:tr>
        <w:trPr>
          <w:cantSplit/>
          <w:tblHeader/>
        </w:trPr>
        <w:tc>
          <w:tcPr>
            <w:tcW w:type="dxa" w:w="10080"/>
            <w:shd w:fill="FFF1E8"/>
            <w:tcMar>
              <w:top w:w="90" w:type="dxa"/>
              <w:left w:w="180" w:type="dxa"/>
              <w:bottom w:w="90" w:type="dxa"/>
              <w:right w:w="180" w:type="dxa"/>
              <w:start w:w="105" w:type="dxa"/>
              <w:end w:w="105" w:type="dxa"/>
            </w:tcMar>
            <w:tcBorders>
              <w:top w:val="single" w:sz="8" w:color="F36C21"/>
              <w:left w:val="single" w:sz="18" w:color="F36C21"/>
              <w:bottom w:val="single" w:sz="8" w:color="F36C21"/>
              <w:right w:val="single" w:sz="8" w:color="F36C21"/>
            </w:tcBorders>
            <w:vAlign w:val="center"/>
          </w:tcPr>
          <w:p>
            <w:pPr>
              <w:widowControl/>
              <w:spacing w:after="90" w:line="259" w:lineRule="auto"/>
            </w:pPr>
            <w:r>
              <w:rPr>
                <w:b w:val="0"/>
                <w:i w:val="0"/>
              </w:rPr>
              <w:t>Mathematical scope</w:t>
            </w:r>
          </w:p>
          <w:p>
            <w:pPr>
              <w:widowControl/>
              <w:spacing w:after="90" w:line="259" w:lineRule="auto"/>
            </w:pPr>
            <w:r>
              <w:rPr>
                <w:b w:val="0"/>
                <w:i w:val="0"/>
              </w:rPr>
              <w:t>The mathematical reference set includes qubit normalization, Bell states, the standard teleportation identity, unitary evolution, a local light–matter interaction reference, photonic-mode coupling, phase accumulation, bosonic loss, generalized measurement, detector response, a simple qubit-noise channel, and a classical adaptive-optics surface model. Generic Dirac or QED expressions and unsupported logical-codeword expressions are not included because they do not map to a defined Qalice component, protocol, or validation measurement.</w:t>
            </w:r>
          </w:p>
        </w:tc>
      </w:tr>
    </w:tbl>
    <w:p>
      <w:pPr>
        <w:widowControl/>
        <w:spacing w:after="80" w:line="20" w:lineRule="exact"/>
      </w:pPr>
      <w:r>
        <w:rPr>
          <w:sz w:val="2"/>
        </w:rPr>
      </w:r>
    </w:p>
    <w:p>
      <w:pPr>
        <w:pStyle w:val="Heading2"/>
        <w:keepNext/>
        <w:keepLines/>
        <w:widowControl/>
      </w:pPr>
      <w:r>
        <w:t>B.1 State preparation and normalization</w:t>
      </w:r>
    </w:p>
    <w:p>
      <w:pPr>
        <w:keepLines w:val="0"/>
        <w:widowControl/>
        <w:spacing w:line="276" w:lineRule="auto" w:after="130"/>
      </w:pPr>
      <w:r>
        <w:rPr>
          <w:rFonts w:ascii="Aptos" w:hAnsi="Aptos" w:eastAsia="Aptos" w:cs="Aptos"/>
          <w:i w:val="0"/>
          <w:sz w:val="22"/>
        </w:rPr>
        <w:t>A single qubit may be represented as a normalized superposition. In a simulation, the amplitudes and basis convention must be explicit, and mixed states should be represented with a density operator rather than a state vector.</w:t>
      </w:r>
    </w:p>
    <w:p>
      <w:pPr>
        <w:keepNext/>
        <w:keepLines/>
        <w:widowControl/>
        <w:spacing w:before="160" w:after="60" w:line="240" w:lineRule="auto"/>
        <w:jc w:val="center"/>
      </w:pPr>
      <w:r>
        <w:drawing>
          <wp:inline xmlns:a="http://schemas.openxmlformats.org/drawingml/2006/main" xmlns:pic="http://schemas.openxmlformats.org/drawingml/2006/picture">
            <wp:extent cx="5212080" cy="621419"/>
            <wp:docPr id="6" name="Picture 6" title="C.1 State preparation and normalization" descr="Equation showing psi equals alpha times zero ket plus beta times one ket, with the squared magnitudes of alpha and beta summing to one."/>
            <wp:cNvGraphicFramePr>
              <a:graphicFrameLocks noChangeAspect="1"/>
            </wp:cNvGraphicFramePr>
            <a:graphic>
              <a:graphicData uri="http://schemas.openxmlformats.org/drawingml/2006/picture">
                <pic:pic>
                  <pic:nvPicPr>
                    <pic:cNvPr id="0" name="eq_c1_state.png"/>
                    <pic:cNvPicPr/>
                  </pic:nvPicPr>
                  <pic:blipFill>
                    <a:blip r:embed="rId33"/>
                    <a:stretch>
                      <a:fillRect/>
                    </a:stretch>
                  </pic:blipFill>
                  <pic:spPr>
                    <a:xfrm>
                      <a:off x="0" y="0"/>
                      <a:ext cx="5212080" cy="621419"/>
                    </a:xfrm>
                    <a:prstGeom prst="rect"/>
                  </pic:spPr>
                </pic:pic>
              </a:graphicData>
            </a:graphic>
          </wp:inline>
        </w:drawing>
      </w:r>
    </w:p>
    <w:p>
      <w:pPr>
        <w:pStyle w:val="QaliceCaption"/>
        <w:keepLines/>
        <w:widowControl/>
        <w:spacing w:before="60" w:after="160" w:line="259" w:lineRule="auto"/>
        <w:jc w:val="center"/>
      </w:pPr>
      <w:r>
        <w:t>Equation B1. Pure-state qubit representation and normalization [10].</w:t>
      </w:r>
    </w:p>
    <w:p>
      <w:pPr>
        <w:pStyle w:val="Heading2"/>
        <w:keepNext/>
        <w:keepLines/>
        <w:widowControl/>
      </w:pPr>
      <w:r>
        <w:t>B.2 Bell-basis entangled resource states</w:t>
      </w:r>
    </w:p>
    <w:p>
      <w:pPr>
        <w:keepLines w:val="0"/>
        <w:widowControl/>
        <w:spacing w:line="276" w:lineRule="auto" w:after="130"/>
      </w:pPr>
      <w:r>
        <w:rPr>
          <w:rFonts w:ascii="Aptos" w:hAnsi="Aptos" w:eastAsia="Aptos" w:cs="Aptos"/>
          <w:i w:val="0"/>
          <w:sz w:val="22"/>
        </w:rPr>
        <w:t>The four Bell states provide the standard two-qubit maximally entangled basis. They are included as a reference for the control-qubit resource and measurement language used in teleportation-oriented protocols.</w:t>
      </w:r>
    </w:p>
    <w:p>
      <w:pPr>
        <w:keepNext/>
        <w:keepLines/>
        <w:widowControl/>
        <w:spacing w:before="160" w:after="60" w:line="240" w:lineRule="auto"/>
        <w:jc w:val="center"/>
      </w:pPr>
      <w:r>
        <w:drawing>
          <wp:inline xmlns:a="http://schemas.openxmlformats.org/drawingml/2006/main" xmlns:pic="http://schemas.openxmlformats.org/drawingml/2006/picture">
            <wp:extent cx="4389120" cy="923210"/>
            <wp:docPr id="7" name="Picture 7" title="C.2 Bell-basis entangled resource states" descr="Two equations defining the Phi plus and minus Bell states and the Psi plus and minus Bell states."/>
            <wp:cNvGraphicFramePr>
              <a:graphicFrameLocks noChangeAspect="1"/>
            </wp:cNvGraphicFramePr>
            <a:graphic>
              <a:graphicData uri="http://schemas.openxmlformats.org/drawingml/2006/picture">
                <pic:pic>
                  <pic:nvPicPr>
                    <pic:cNvPr id="0" name="eq_c2_bell.png"/>
                    <pic:cNvPicPr/>
                  </pic:nvPicPr>
                  <pic:blipFill>
                    <a:blip r:embed="rId34"/>
                    <a:stretch>
                      <a:fillRect/>
                    </a:stretch>
                  </pic:blipFill>
                  <pic:spPr>
                    <a:xfrm>
                      <a:off x="0" y="0"/>
                      <a:ext cx="4389120" cy="923210"/>
                    </a:xfrm>
                    <a:prstGeom prst="rect"/>
                  </pic:spPr>
                </pic:pic>
              </a:graphicData>
            </a:graphic>
          </wp:inline>
        </w:drawing>
      </w:r>
    </w:p>
    <w:p>
      <w:pPr>
        <w:pStyle w:val="QaliceCaption"/>
        <w:keepLines/>
        <w:widowControl/>
        <w:spacing w:before="60" w:after="160" w:line="259" w:lineRule="auto"/>
        <w:jc w:val="center"/>
      </w:pPr>
      <w:r>
        <w:t>Equation B2. The four Bell states used as the standard maximally entangled two-qubit basis [6, 10].</w:t>
      </w:r>
    </w:p>
    <w:p>
      <w:pPr>
        <w:pStyle w:val="Heading2"/>
        <w:keepNext/>
        <w:keepLines/>
        <w:widowControl/>
      </w:pPr>
      <w:r>
        <w:t>B.3 Standard teleportation identity</w:t>
      </w:r>
    </w:p>
    <w:p>
      <w:pPr>
        <w:keepLines w:val="0"/>
        <w:widowControl/>
        <w:spacing w:line="276" w:lineRule="auto" w:after="130"/>
      </w:pPr>
      <w:r>
        <w:rPr>
          <w:b w:val="0"/>
          <w:i w:val="0"/>
        </w:rPr>
        <w:t>The identity below is the conventional qubit-teleportation decomposition. It shows how a Bell-basis result and two classical bits identify the local Pauli correction at the receiving qubit. It is included as a reference identity; the quantum-mirror protocol in Ref. [1] uses its own optical interaction and measurement sequence.</w:t>
      </w:r>
    </w:p>
    <w:p>
      <w:pPr>
        <w:keepNext/>
        <w:keepLines/>
        <w:widowControl/>
        <w:spacing w:before="160" w:after="60" w:line="240" w:lineRule="auto"/>
        <w:jc w:val="center"/>
      </w:pPr>
      <w:r>
        <w:drawing>
          <wp:inline xmlns:a="http://schemas.openxmlformats.org/drawingml/2006/main" xmlns:pic="http://schemas.openxmlformats.org/drawingml/2006/picture">
            <wp:extent cx="6080760" cy="887968"/>
            <wp:docPr id="8" name="Picture 8" title="C.3 Standard teleportation identity" descr="Two-line equation expanding an unknown qubit and a Phi plus Bell pair into four Bell-measurement outcomes with identity, Z, X, and XZ corrections."/>
            <wp:cNvGraphicFramePr>
              <a:graphicFrameLocks noChangeAspect="1"/>
            </wp:cNvGraphicFramePr>
            <a:graphic>
              <a:graphicData uri="http://schemas.openxmlformats.org/drawingml/2006/picture">
                <pic:pic>
                  <pic:nvPicPr>
                    <pic:cNvPr id="0" name="eq_c3_teleport.png"/>
                    <pic:cNvPicPr/>
                  </pic:nvPicPr>
                  <pic:blipFill>
                    <a:blip r:embed="rId35"/>
                    <a:stretch>
                      <a:fillRect/>
                    </a:stretch>
                  </pic:blipFill>
                  <pic:spPr>
                    <a:xfrm>
                      <a:off x="0" y="0"/>
                      <a:ext cx="6080760" cy="887968"/>
                    </a:xfrm>
                    <a:prstGeom prst="rect"/>
                  </pic:spPr>
                </pic:pic>
              </a:graphicData>
            </a:graphic>
          </wp:inline>
        </w:drawing>
      </w:r>
    </w:p>
    <w:p>
      <w:pPr>
        <w:pStyle w:val="QaliceCaption"/>
        <w:keepLines/>
        <w:widowControl/>
        <w:spacing w:before="60" w:after="160" w:line="259" w:lineRule="auto"/>
        <w:jc w:val="center"/>
      </w:pPr>
      <w:r>
        <w:rPr>
          <w:b w:val="0"/>
          <w:i w:val="0"/>
        </w:rPr>
        <w:t>Equation B3. Standard teleportation decomposition. The XZ term is equivalent to a Pauli Y operation up to a global phase [6, 10].</w:t>
      </w:r>
    </w:p>
    <w:p>
      <w:pPr>
        <w:keepLines/>
        <w:widowControl/>
        <w:spacing w:line="276" w:lineRule="auto" w:after="200" w:before="100"/>
      </w:pPr>
      <w:r>
        <w:t>Model requirement: document the exact resource-state, basis-ordering, feed-forward, and phase conventions used when mapping the Qalice simulation to Ref. [1].</w:t>
      </w:r>
    </w:p>
    <w:p>
      <w:pPr>
        <w:pStyle w:val="Heading2"/>
        <w:keepNext/>
        <w:keepLines/>
        <w:pageBreakBefore w:val="0"/>
        <w:widowControl/>
      </w:pPr>
      <w:r>
        <w:t>B.4 Dynamics and candidate light–matter interaction</w:t>
      </w:r>
    </w:p>
    <w:p>
      <w:pPr>
        <w:keepLines w:val="0"/>
        <w:widowControl/>
        <w:spacing w:line="276" w:lineRule="auto" w:after="130"/>
      </w:pPr>
      <w:r>
        <w:rPr>
          <w:b w:val="0"/>
          <w:i w:val="0"/>
        </w:rPr>
        <w:t>Closed-system evolution can be represented by a unitary operator. A realistic node model then adds the relevant open-system channel, master equation, or completely positive trace-preserving map for loss and decoherence.</w:t>
      </w:r>
    </w:p>
    <w:p>
      <w:pPr>
        <w:keepNext/>
        <w:keepLines/>
        <w:widowControl/>
        <w:spacing w:before="160" w:after="60"/>
        <w:jc w:val="center"/>
      </w:pPr>
      <w:r>
        <w:drawing>
          <wp:inline xmlns:a="http://schemas.openxmlformats.org/drawingml/2006/main" xmlns:pic="http://schemas.openxmlformats.org/drawingml/2006/picture">
            <wp:extent cx="5257800" cy="626870"/>
            <wp:docPr id="9" name="Picture 9" title="Equation C4" descr="Density operator evolving under a unitary operator U generated by Hamiltonian H."/>
            <wp:cNvGraphicFramePr>
              <a:graphicFrameLocks noChangeAspect="1"/>
            </wp:cNvGraphicFramePr>
            <a:graphic>
              <a:graphicData uri="http://schemas.openxmlformats.org/drawingml/2006/picture">
                <pic:pic>
                  <pic:nvPicPr>
                    <pic:cNvPr id="0" name="eq_c4_unitary.png"/>
                    <pic:cNvPicPr/>
                  </pic:nvPicPr>
                  <pic:blipFill>
                    <a:blip r:embed="rId36"/>
                    <a:stretch>
                      <a:fillRect/>
                    </a:stretch>
                  </pic:blipFill>
                  <pic:spPr>
                    <a:xfrm>
                      <a:off x="0" y="0"/>
                      <a:ext cx="5257800" cy="626870"/>
                    </a:xfrm>
                    <a:prstGeom prst="rect"/>
                  </pic:spPr>
                </pic:pic>
              </a:graphicData>
            </a:graphic>
          </wp:inline>
        </w:drawing>
      </w:r>
    </w:p>
    <w:p>
      <w:pPr>
        <w:pStyle w:val="QaliceCaption"/>
        <w:keepLines/>
        <w:widowControl/>
        <w:spacing w:before="60" w:after="160" w:line="259" w:lineRule="auto"/>
        <w:jc w:val="center"/>
      </w:pPr>
      <w:r>
        <w:t>Equation B4. Unitary density-operator evolution [10].</w:t>
      </w:r>
    </w:p>
    <w:p>
      <w:pPr>
        <w:keepLines w:val="0"/>
        <w:widowControl/>
        <w:spacing w:line="276" w:lineRule="auto" w:after="130"/>
      </w:pPr>
      <w:r>
        <w:rPr>
          <w:rFonts w:ascii="Aptos" w:hAnsi="Aptos" w:eastAsia="Aptos" w:cs="Aptos"/>
          <w:i w:val="0"/>
          <w:sz w:val="22"/>
        </w:rPr>
        <w:t>A Jaynes–Cummings-type Hamiltonian is shown only as a candidate local coupling model for a two-level emitter interacting with one quantized mode. It is not a universal quantum-mirror Hamiltonian. A physical implementation based on an atomic array, waveguide QED, a cavity, or another platform must substitute its derived many-body scattering Hamiltonian and measured parameters.</w:t>
      </w:r>
    </w:p>
    <w:p>
      <w:pPr>
        <w:keepNext/>
        <w:keepLines/>
        <w:widowControl/>
        <w:spacing w:before="160" w:after="60"/>
        <w:jc w:val="center"/>
      </w:pPr>
      <w:r>
        <w:drawing>
          <wp:inline xmlns:a="http://schemas.openxmlformats.org/drawingml/2006/main" xmlns:pic="http://schemas.openxmlformats.org/drawingml/2006/picture">
            <wp:extent cx="5257800" cy="965718"/>
            <wp:docPr id="10" name="Picture 10" title="Equation C5" descr="Candidate Jaynes Cummings Hamiltonian for a two-level system coupled to a quantized optical mode."/>
            <wp:cNvGraphicFramePr>
              <a:graphicFrameLocks noChangeAspect="1"/>
            </wp:cNvGraphicFramePr>
            <a:graphic>
              <a:graphicData uri="http://schemas.openxmlformats.org/drawingml/2006/picture">
                <pic:pic>
                  <pic:nvPicPr>
                    <pic:cNvPr id="0" name="eq_c5_jc.png"/>
                    <pic:cNvPicPr/>
                  </pic:nvPicPr>
                  <pic:blipFill>
                    <a:blip r:embed="rId37"/>
                    <a:stretch>
                      <a:fillRect/>
                    </a:stretch>
                  </pic:blipFill>
                  <pic:spPr>
                    <a:xfrm>
                      <a:off x="0" y="0"/>
                      <a:ext cx="5257800" cy="965718"/>
                    </a:xfrm>
                    <a:prstGeom prst="rect"/>
                  </pic:spPr>
                </pic:pic>
              </a:graphicData>
            </a:graphic>
          </wp:inline>
        </w:drawing>
      </w:r>
    </w:p>
    <w:p>
      <w:pPr>
        <w:pStyle w:val="QaliceCaption"/>
        <w:keepLines/>
        <w:widowControl/>
        <w:spacing w:before="60" w:after="180" w:line="259" w:lineRule="auto"/>
        <w:jc w:val="center"/>
      </w:pPr>
      <w:r>
        <w:rPr>
          <w:b w:val="0"/>
          <w:i w:val="0"/>
        </w:rPr>
        <w:t>Equation B5. Jaynes–Cummings interaction used as a local reference model; a platform-specific replacement is required [11].</w:t>
      </w:r>
    </w:p>
    <w:p>
      <w:pPr>
        <w:pStyle w:val="Heading2"/>
        <w:keepNext/>
        <w:keepLines/>
        <w:widowControl/>
      </w:pPr>
      <w:r>
        <w:t>B.5 Photonic routing and phase control</w:t>
      </w:r>
    </w:p>
    <w:p>
      <w:pPr>
        <w:keepLines w:val="0"/>
        <w:widowControl/>
        <w:spacing w:line="276" w:lineRule="auto" w:after="130"/>
      </w:pPr>
      <w:r>
        <w:rPr>
          <w:b w:val="0"/>
          <w:i w:val="0"/>
        </w:rPr>
        <w:t>A beam-splitter Hamiltonian provides a compact model for coherent coupling between two optical modes in a PIC, directional coupler, or equivalent routing element. The coupling angle, insertion loss, dispersion, and fabrication errors are parameterized separately.</w:t>
      </w:r>
    </w:p>
    <w:p>
      <w:pPr>
        <w:keepNext/>
        <w:keepLines/>
        <w:widowControl/>
        <w:spacing w:before="160" w:after="60" w:line="240" w:lineRule="auto"/>
        <w:jc w:val="center"/>
      </w:pPr>
      <w:r>
        <w:drawing>
          <wp:inline xmlns:a="http://schemas.openxmlformats.org/drawingml/2006/main" xmlns:pic="http://schemas.openxmlformats.org/drawingml/2006/picture">
            <wp:extent cx="5943600" cy="625366"/>
            <wp:docPr id="11" name="Picture 11" title="C.5 Photonic routing and phase control" descr="Hamiltonian and unitary operator for coherent beam splitter coupling between modes a and b."/>
            <wp:cNvGraphicFramePr>
              <a:graphicFrameLocks noChangeAspect="1"/>
            </wp:cNvGraphicFramePr>
            <a:graphic>
              <a:graphicData uri="http://schemas.openxmlformats.org/drawingml/2006/picture">
                <pic:pic>
                  <pic:nvPicPr>
                    <pic:cNvPr id="0" name="eq_c6_bs.png"/>
                    <pic:cNvPicPr/>
                  </pic:nvPicPr>
                  <pic:blipFill>
                    <a:blip r:embed="rId38"/>
                    <a:stretch>
                      <a:fillRect/>
                    </a:stretch>
                  </pic:blipFill>
                  <pic:spPr>
                    <a:xfrm>
                      <a:off x="0" y="0"/>
                      <a:ext cx="5943600" cy="625366"/>
                    </a:xfrm>
                    <a:prstGeom prst="rect"/>
                  </pic:spPr>
                </pic:pic>
              </a:graphicData>
            </a:graphic>
          </wp:inline>
        </w:drawing>
      </w:r>
    </w:p>
    <w:p>
      <w:pPr>
        <w:pStyle w:val="QaliceCaption"/>
        <w:keepLines/>
        <w:widowControl/>
        <w:spacing w:before="60" w:after="160" w:line="259" w:lineRule="auto"/>
        <w:jc w:val="center"/>
      </w:pPr>
      <w:r>
        <w:rPr>
          <w:b w:val="0"/>
          <w:i w:val="0"/>
        </w:rPr>
        <w:t>Equation B6. Ideal coherent coupling between two bosonic modes [12].</w:t>
      </w:r>
    </w:p>
    <w:p>
      <w:pPr>
        <w:keepLines w:val="0"/>
        <w:widowControl/>
        <w:spacing w:line="276" w:lineRule="auto" w:after="130"/>
      </w:pPr>
      <w:r>
        <w:rPr>
          <w:b w:val="0"/>
          <w:i w:val="0"/>
        </w:rPr>
        <w:t>Optical phase depends on propagation constant, path length, vacuum wavelength, and any applied control phase. The Qalice model reports its phase convention, residual mismatch, drift spectrum, stabilization bandwidth, and calibration cadence.</w:t>
      </w:r>
    </w:p>
    <w:p>
      <w:pPr>
        <w:keepNext/>
        <w:keepLines/>
        <w:widowControl/>
        <w:spacing w:before="160" w:after="60"/>
        <w:jc w:val="center"/>
      </w:pPr>
      <w:r>
        <w:drawing>
          <wp:inline xmlns:a="http://schemas.openxmlformats.org/drawingml/2006/main" xmlns:pic="http://schemas.openxmlformats.org/drawingml/2006/picture">
            <wp:extent cx="4937760" cy="615142"/>
            <wp:docPr id="12" name="Picture 12" title="Equation C7" descr="Optical phase accumulation from effective refractive index and path length, plus a control phase, with phase mismatch between two paths."/>
            <wp:cNvGraphicFramePr>
              <a:graphicFrameLocks noChangeAspect="1"/>
            </wp:cNvGraphicFramePr>
            <a:graphic>
              <a:graphicData uri="http://schemas.openxmlformats.org/drawingml/2006/picture">
                <pic:pic>
                  <pic:nvPicPr>
                    <pic:cNvPr id="0" name="eq_c7_phase.png"/>
                    <pic:cNvPicPr/>
                  </pic:nvPicPr>
                  <pic:blipFill>
                    <a:blip r:embed="rId39"/>
                    <a:stretch>
                      <a:fillRect/>
                    </a:stretch>
                  </pic:blipFill>
                  <pic:spPr>
                    <a:xfrm>
                      <a:off x="0" y="0"/>
                      <a:ext cx="4937760" cy="615142"/>
                    </a:xfrm>
                    <a:prstGeom prst="rect"/>
                  </pic:spPr>
                </pic:pic>
              </a:graphicData>
            </a:graphic>
          </wp:inline>
        </w:drawing>
      </w:r>
    </w:p>
    <w:p>
      <w:pPr>
        <w:pStyle w:val="QaliceCaption"/>
        <w:keepLines/>
        <w:widowControl/>
        <w:spacing w:before="60" w:after="180" w:line="259" w:lineRule="auto"/>
        <w:jc w:val="center"/>
      </w:pPr>
      <w:r>
        <w:t>Equation B7. Phase accumulation and relative phase mismatch.</w:t>
      </w:r>
    </w:p>
    <w:p>
      <w:pPr>
        <w:pStyle w:val="Heading2"/>
        <w:keepNext/>
        <w:keepLines/>
        <w:widowControl/>
      </w:pPr>
      <w:r>
        <w:t>B.6 Loss channel and received photon number</w:t>
      </w:r>
    </w:p>
    <w:p>
      <w:pPr>
        <w:keepLines w:val="0"/>
        <w:widowControl/>
        <w:spacing w:line="276" w:lineRule="auto" w:after="130"/>
      </w:pPr>
      <w:r>
        <w:rPr>
          <w:b w:val="0"/>
          <w:i w:val="0"/>
        </w:rPr>
        <w:t>A pure-loss bosonic channel can be represented by mixing the signal with an environmental vacuum mode. The engineering dB relation is useful for budgeting, while protocol performance is computed by applying the channel to the optical state and measurement model.</w:t>
      </w:r>
    </w:p>
    <w:p>
      <w:pPr>
        <w:keepNext/>
        <w:keepLines/>
        <w:widowControl/>
        <w:spacing w:before="160" w:after="60" w:line="240" w:lineRule="auto"/>
        <w:jc w:val="center"/>
      </w:pPr>
      <w:r>
        <w:drawing>
          <wp:inline xmlns:a="http://schemas.openxmlformats.org/drawingml/2006/main" xmlns:pic="http://schemas.openxmlformats.org/drawingml/2006/picture">
            <wp:extent cx="5212080" cy="957321"/>
            <wp:docPr id="13" name="Picture 13" title="C.6 Loss channel and received photon number" descr="Two equations showing a bosonic attenuation channel and the conversion from attenuation in decibels to received mean photon number."/>
            <wp:cNvGraphicFramePr>
              <a:graphicFrameLocks noChangeAspect="1"/>
            </wp:cNvGraphicFramePr>
            <a:graphic>
              <a:graphicData uri="http://schemas.openxmlformats.org/drawingml/2006/picture">
                <pic:pic>
                  <pic:nvPicPr>
                    <pic:cNvPr id="0" name="eq_c8_loss.png"/>
                    <pic:cNvPicPr/>
                  </pic:nvPicPr>
                  <pic:blipFill>
                    <a:blip r:embed="rId40"/>
                    <a:stretch>
                      <a:fillRect/>
                    </a:stretch>
                  </pic:blipFill>
                  <pic:spPr>
                    <a:xfrm>
                      <a:off x="0" y="0"/>
                      <a:ext cx="5212080" cy="957321"/>
                    </a:xfrm>
                    <a:prstGeom prst="rect"/>
                  </pic:spPr>
                </pic:pic>
              </a:graphicData>
            </a:graphic>
          </wp:inline>
        </w:drawing>
      </w:r>
    </w:p>
    <w:p>
      <w:pPr>
        <w:pStyle w:val="QaliceCaption"/>
        <w:keepLines/>
        <w:widowControl/>
        <w:spacing w:before="60" w:after="160" w:line="259" w:lineRule="auto"/>
        <w:jc w:val="center"/>
      </w:pPr>
      <w:r>
        <w:rPr>
          <w:b w:val="0"/>
          <w:i w:val="0"/>
        </w:rPr>
        <w:t>Equation B8. Pure-loss bosonic transformation and corresponding engineering link relation [12].</w:t>
      </w:r>
    </w:p>
    <w:p>
      <w:pPr>
        <w:pStyle w:val="Heading2"/>
        <w:keepNext/>
        <w:keepLines/>
        <w:pageBreakBefore w:val="0"/>
        <w:widowControl/>
      </w:pPr>
      <w:r>
        <w:t>B.7 Measurement, detector response, and simple noise channels</w:t>
      </w:r>
    </w:p>
    <w:p>
      <w:pPr>
        <w:keepLines w:val="0"/>
        <w:widowControl/>
        <w:spacing w:line="276" w:lineRule="auto" w:after="130"/>
      </w:pPr>
      <w:r>
        <w:rPr>
          <w:rFonts w:ascii="Aptos" w:hAnsi="Aptos" w:eastAsia="Aptos" w:cs="Aptos"/>
          <w:i w:val="0"/>
          <w:sz w:val="22"/>
        </w:rPr>
        <w:t>Generalized measurement probabilities should be computed from a positive-operator-valued measure. This avoids treating a detector click, a no-click event, a Bell-state outcome, or a thresholded analog signal as interchangeable measurements.</w:t>
      </w:r>
    </w:p>
    <w:p>
      <w:pPr>
        <w:keepNext/>
        <w:keepLines/>
        <w:widowControl/>
        <w:spacing w:before="160" w:after="60"/>
        <w:jc w:val="center"/>
      </w:pPr>
      <w:r>
        <w:drawing>
          <wp:inline xmlns:a="http://schemas.openxmlformats.org/drawingml/2006/main" xmlns:pic="http://schemas.openxmlformats.org/drawingml/2006/picture">
            <wp:extent cx="5212080" cy="621419"/>
            <wp:docPr id="14" name="Picture 14" title="Equation C9" descr="Born rule in POVM form using trace of measurement operator M sub m times density operator rho."/>
            <wp:cNvGraphicFramePr>
              <a:graphicFrameLocks noChangeAspect="1"/>
            </wp:cNvGraphicFramePr>
            <a:graphic>
              <a:graphicData uri="http://schemas.openxmlformats.org/drawingml/2006/picture">
                <pic:pic>
                  <pic:nvPicPr>
                    <pic:cNvPr id="0" name="eq_c9_measurement.png"/>
                    <pic:cNvPicPr/>
                  </pic:nvPicPr>
                  <pic:blipFill>
                    <a:blip r:embed="rId41"/>
                    <a:stretch>
                      <a:fillRect/>
                    </a:stretch>
                  </pic:blipFill>
                  <pic:spPr>
                    <a:xfrm>
                      <a:off x="0" y="0"/>
                      <a:ext cx="5212080" cy="621419"/>
                    </a:xfrm>
                    <a:prstGeom prst="rect"/>
                  </pic:spPr>
                </pic:pic>
              </a:graphicData>
            </a:graphic>
          </wp:inline>
        </w:drawing>
      </w:r>
    </w:p>
    <w:p>
      <w:pPr>
        <w:pStyle w:val="QaliceCaption"/>
        <w:keepLines/>
        <w:widowControl/>
        <w:spacing w:before="60" w:after="180" w:line="259" w:lineRule="auto"/>
        <w:jc w:val="center"/>
      </w:pPr>
      <w:r>
        <w:t>Equation B9. Born rule in POVM form [10].</w:t>
      </w:r>
    </w:p>
    <w:p>
      <w:pPr>
        <w:keepLines w:val="0"/>
        <w:widowControl/>
        <w:spacing w:line="276" w:lineRule="auto" w:after="130"/>
      </w:pPr>
      <w:r>
        <w:rPr>
          <w:b w:val="0"/>
          <w:i w:val="0"/>
        </w:rPr>
        <w:t>For a coherent state measured by an idealized threshold detector, the no-click probability can include detector efficiency and a dark-count probability per detection window. A complete detector model may also require afterpulsing, dead time, saturation, background counts, and timing-window dependence.</w:t>
      </w:r>
    </w:p>
    <w:p>
      <w:pPr>
        <w:keepNext/>
        <w:keepLines/>
        <w:widowControl/>
        <w:spacing w:before="160" w:after="60"/>
        <w:jc w:val="center"/>
      </w:pPr>
      <w:r>
        <w:drawing>
          <wp:inline xmlns:a="http://schemas.openxmlformats.org/drawingml/2006/main" xmlns:pic="http://schemas.openxmlformats.org/drawingml/2006/picture">
            <wp:extent cx="4800600" cy="626165"/>
            <wp:docPr id="15" name="Picture 15" title="Equation C10" descr="Threshold detector no-click probability and click probability including detector efficiency and dark-count parameter."/>
            <wp:cNvGraphicFramePr>
              <a:graphicFrameLocks noChangeAspect="1"/>
            </wp:cNvGraphicFramePr>
            <a:graphic>
              <a:graphicData uri="http://schemas.openxmlformats.org/drawingml/2006/picture">
                <pic:pic>
                  <pic:nvPicPr>
                    <pic:cNvPr id="0" name="eq_c10_detector.png"/>
                    <pic:cNvPicPr/>
                  </pic:nvPicPr>
                  <pic:blipFill>
                    <a:blip r:embed="rId42"/>
                    <a:stretch>
                      <a:fillRect/>
                    </a:stretch>
                  </pic:blipFill>
                  <pic:spPr>
                    <a:xfrm>
                      <a:off x="0" y="0"/>
                      <a:ext cx="4800600" cy="626165"/>
                    </a:xfrm>
                    <a:prstGeom prst="rect"/>
                  </pic:spPr>
                </pic:pic>
              </a:graphicData>
            </a:graphic>
          </wp:inline>
        </w:drawing>
      </w:r>
    </w:p>
    <w:p>
      <w:pPr>
        <w:pStyle w:val="QaliceCaption"/>
        <w:keepLines/>
        <w:widowControl/>
        <w:spacing w:before="60" w:after="180" w:line="259" w:lineRule="auto"/>
        <w:jc w:val="center"/>
      </w:pPr>
      <w:r>
        <w:rPr>
          <w:b w:val="0"/>
          <w:i w:val="0"/>
        </w:rPr>
        <w:t>Equation B10. Simplified threshold-detector response for a coherent-state input [12].</w:t>
      </w:r>
    </w:p>
    <w:p>
      <w:pPr>
        <w:keepLines w:val="0"/>
        <w:widowControl/>
        <w:spacing w:line="276" w:lineRule="auto" w:after="130"/>
      </w:pPr>
      <w:r>
        <w:rPr>
          <w:rFonts w:ascii="Aptos" w:hAnsi="Aptos" w:eastAsia="Aptos" w:cs="Aptos"/>
          <w:i w:val="0"/>
          <w:sz w:val="22"/>
        </w:rPr>
        <w:t>The depolarizing channel below is a simple benchmark for control-qubit noise. It should not be used as a substitute for measured amplitude damping, dephasing, preparation, gate, and readout errors when platform data are available.</w:t>
      </w:r>
    </w:p>
    <w:p>
      <w:pPr>
        <w:keepNext/>
        <w:keepLines/>
        <w:widowControl/>
        <w:spacing w:before="160" w:after="60"/>
        <w:jc w:val="center"/>
      </w:pPr>
      <w:r>
        <w:drawing>
          <wp:inline xmlns:a="http://schemas.openxmlformats.org/drawingml/2006/main" xmlns:pic="http://schemas.openxmlformats.org/drawingml/2006/picture">
            <wp:extent cx="5303520" cy="632321"/>
            <wp:docPr id="16" name="Picture 16" title="Equation C11" descr="Single-qubit depolarizing noise channel with equal X, Y, and Z error contributions."/>
            <wp:cNvGraphicFramePr>
              <a:graphicFrameLocks noChangeAspect="1"/>
            </wp:cNvGraphicFramePr>
            <a:graphic>
              <a:graphicData uri="http://schemas.openxmlformats.org/drawingml/2006/picture">
                <pic:pic>
                  <pic:nvPicPr>
                    <pic:cNvPr id="0" name="eq_c11_depolarizing.png"/>
                    <pic:cNvPicPr/>
                  </pic:nvPicPr>
                  <pic:blipFill>
                    <a:blip r:embed="rId43"/>
                    <a:stretch>
                      <a:fillRect/>
                    </a:stretch>
                  </pic:blipFill>
                  <pic:spPr>
                    <a:xfrm>
                      <a:off x="0" y="0"/>
                      <a:ext cx="5303520" cy="632321"/>
                    </a:xfrm>
                    <a:prstGeom prst="rect"/>
                  </pic:spPr>
                </pic:pic>
              </a:graphicData>
            </a:graphic>
          </wp:inline>
        </w:drawing>
      </w:r>
    </w:p>
    <w:p>
      <w:pPr>
        <w:pStyle w:val="QaliceCaption"/>
        <w:keepLines/>
        <w:widowControl/>
        <w:spacing w:before="60" w:after="180" w:line="259" w:lineRule="auto"/>
        <w:jc w:val="center"/>
      </w:pPr>
      <w:r>
        <w:t>Equation B11. Simple single-qubit depolarizing channel [10].</w:t>
      </w:r>
    </w:p>
    <w:p>
      <w:pPr>
        <w:pStyle w:val="Heading2"/>
        <w:keepNext/>
        <w:keepLines/>
        <w:widowControl/>
      </w:pPr>
      <w:r>
        <w:t>B.8 Classical adaptive-optics surface model</w:t>
      </w:r>
    </w:p>
    <w:p>
      <w:pPr>
        <w:keepLines w:val="0"/>
        <w:widowControl/>
        <w:spacing w:line="276" w:lineRule="auto" w:after="130"/>
      </w:pPr>
      <w:r>
        <w:rPr>
          <w:b w:val="0"/>
          <w:i w:val="0"/>
        </w:rPr>
        <w:t>A deformable mirror is a classical optical control element that may improve beam pointing, wavefront quality, or mode overlap. Its surface can be expanded in actuator influence functions or Zernike modes. This model is distinct from the physical quantum-mirror transformation.</w:t>
      </w:r>
    </w:p>
    <w:p>
      <w:pPr>
        <w:keepNext/>
        <w:keepLines/>
        <w:widowControl/>
        <w:spacing w:before="160" w:after="60" w:line="240" w:lineRule="auto"/>
        <w:jc w:val="center"/>
      </w:pPr>
      <w:r>
        <w:drawing>
          <wp:inline xmlns:a="http://schemas.openxmlformats.org/drawingml/2006/main" xmlns:pic="http://schemas.openxmlformats.org/drawingml/2006/picture">
            <wp:extent cx="4572000" cy="625761"/>
            <wp:docPr id="17" name="Picture 17" title="C.8 Classical adaptive-optics surface model" descr="Equation describing a nominal curved mirror surface plus a weighted sum of Zernike or actuator influence functions."/>
            <wp:cNvGraphicFramePr>
              <a:graphicFrameLocks noChangeAspect="1"/>
            </wp:cNvGraphicFramePr>
            <a:graphic>
              <a:graphicData uri="http://schemas.openxmlformats.org/drawingml/2006/picture">
                <pic:pic>
                  <pic:nvPicPr>
                    <pic:cNvPr id="0" name="eq_c12_adaptive.png"/>
                    <pic:cNvPicPr/>
                  </pic:nvPicPr>
                  <pic:blipFill>
                    <a:blip r:embed="rId44"/>
                    <a:stretch>
                      <a:fillRect/>
                    </a:stretch>
                  </pic:blipFill>
                  <pic:spPr>
                    <a:xfrm>
                      <a:off x="0" y="0"/>
                      <a:ext cx="4572000" cy="625761"/>
                    </a:xfrm>
                    <a:prstGeom prst="rect"/>
                  </pic:spPr>
                </pic:pic>
              </a:graphicData>
            </a:graphic>
          </wp:inline>
        </w:drawing>
      </w:r>
    </w:p>
    <w:p>
      <w:pPr>
        <w:pStyle w:val="QaliceCaption"/>
        <w:keepLines/>
        <w:widowControl/>
        <w:spacing w:before="60" w:after="160" w:line="259" w:lineRule="auto"/>
        <w:jc w:val="center"/>
      </w:pPr>
      <w:r>
        <w:rPr>
          <w:b w:val="0"/>
          <w:i w:val="0"/>
        </w:rPr>
        <w:t>Equation B12. Generic classical deformable-mirror surface expansion [13].</w:t>
      </w:r>
    </w:p>
    <w:p>
      <w:pPr>
        <w:keepLines/>
        <w:widowControl/>
        <w:spacing w:line="276" w:lineRule="auto" w:after="200" w:before="100"/>
      </w:pPr>
      <w:r>
        <w:t>Model requirement: define the minimum turbulence and adaptive-optics model for any proposed free-space experiment, including sensing wavelength, correction bandwidth, residual phase variance, and added optical loss.</w:t>
      </w:r>
    </w:p>
    <w:p>
      <w:pPr>
        <w:pStyle w:val="Heading2"/>
        <w:keepNext/>
        <w:keepLines/>
        <w:widowControl/>
      </w:pPr>
      <w:r>
        <w:t>B.9 Equation-to-model traceability requirements</w:t>
      </w:r>
    </w:p>
    <w:tbl>
      <w:tblPr>
        <w:tblW w:type="auto" w:w="0"/>
        <w:jc w:val="center"/>
        <w:tblLayout w:type="fixed"/>
        <w:tblLook w:firstColumn="1" w:firstRow="1" w:lastColumn="0" w:lastRow="0" w:noHBand="0" w:noVBand="1" w:val="04A0"/>
      </w:tblPr>
      <w:tblGrid>
        <w:gridCol w:w="2520"/>
        <w:gridCol w:w="2520"/>
        <w:gridCol w:w="2520"/>
        <w:gridCol w:w="2520"/>
      </w:tblGrid>
      <w:tr>
        <w:trPr>
          <w:tblHeader w:val="true"/>
          <w:cantSplit/>
        </w:trPr>
        <w:tc>
          <w:tcPr>
            <w:tcW w:type="dxa" w:w="1512"/>
            <w:shd w:fill="171717"/>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b/>
                <w:color w:val="FFFFFF"/>
                <w:sz w:val="16"/>
              </w:rPr>
              <w:t>Equation set</w:t>
            </w:r>
          </w:p>
        </w:tc>
        <w:tc>
          <w:tcPr>
            <w:tcW w:type="dxa" w:w="1944"/>
            <w:shd w:fill="171717"/>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b/>
                <w:color w:val="FFFFFF"/>
                <w:sz w:val="16"/>
              </w:rPr>
              <w:t>Model status</w:t>
            </w:r>
          </w:p>
        </w:tc>
        <w:tc>
          <w:tcPr>
            <w:tcW w:type="dxa" w:w="3240"/>
            <w:shd w:fill="171717"/>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b/>
                <w:color w:val="FFFFFF"/>
                <w:sz w:val="16"/>
              </w:rPr>
              <w:t>Required parameters</w:t>
            </w:r>
          </w:p>
        </w:tc>
        <w:tc>
          <w:tcPr>
            <w:tcW w:type="dxa" w:w="3240"/>
            <w:shd w:fill="171717"/>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Validation requirement</w:t>
            </w:r>
          </w:p>
        </w:tc>
      </w:tr>
      <w:tr>
        <w:trPr>
          <w:cantSplit/>
        </w:trPr>
        <w:tc>
          <w:tcPr>
            <w:tcW w:type="dxa" w:w="1512"/>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Eq. 1; B1–B3</w:t>
            </w:r>
          </w:p>
        </w:tc>
        <w:tc>
          <w:tcPr>
            <w:tcW w:type="dxa" w:w="1944"/>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Established ideal definitions / protocol reference</w:t>
            </w:r>
          </w:p>
        </w:tc>
        <w:tc>
          <w:tcPr>
            <w:tcW w:type="dxa" w:w="3240"/>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Basis ordering, coherent-state amplitude, control-qubit resource, measurement convention</w:t>
            </w:r>
          </w:p>
        </w:tc>
        <w:tc>
          <w:tcPr>
            <w:tcW w:type="dxa" w:w="3240"/>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The Qalice notation reproduces Ref. [1] without altering the protocol, basis ordering, or feed-forward convention.</w:t>
            </w:r>
          </w:p>
        </w:tc>
      </w:tr>
      <w:tr>
        <w:trPr>
          <w:cantSplit/>
        </w:trPr>
        <w:tc>
          <w:tcPr>
            <w:tcW w:type="dxa" w:w="1512"/>
            <w:shd w:fill="FAFAFB"/>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b w:val="0"/>
                <w:i w:val="0"/>
              </w:rPr>
              <w:t>B4–B5</w:t>
            </w:r>
          </w:p>
        </w:tc>
        <w:tc>
          <w:tcPr>
            <w:tcW w:type="dxa" w:w="1944"/>
            <w:shd w:fill="FAFAFB"/>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b w:val="0"/>
                <w:i w:val="0"/>
              </w:rPr>
              <w:t>Reference and candidate dynamics</w:t>
            </w:r>
          </w:p>
        </w:tc>
        <w:tc>
          <w:tcPr>
            <w:tcW w:type="dxa" w:w="3240"/>
            <w:shd w:fill="FAFAFB"/>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Hamiltonian, coupling strengths, detunings, decoherence, collective interactions</w:t>
            </w:r>
          </w:p>
        </w:tc>
        <w:tc>
          <w:tcPr>
            <w:tcW w:type="dxa" w:w="3240"/>
            <w:shd w:fill="FAFAFB"/>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b w:val="0"/>
                <w:i w:val="0"/>
              </w:rPr>
              <w:t>Replace the local reference model with a platform-specific Hamiltonian and open-system model tied to measurable parameters.</w:t>
            </w:r>
          </w:p>
        </w:tc>
      </w:tr>
      <w:tr>
        <w:trPr>
          <w:cantSplit/>
        </w:trPr>
        <w:tc>
          <w:tcPr>
            <w:tcW w:type="dxa" w:w="1512"/>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B6–B8</w:t>
            </w:r>
          </w:p>
        </w:tc>
        <w:tc>
          <w:tcPr>
            <w:tcW w:type="dxa" w:w="1944"/>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Engineering and channel model</w:t>
            </w:r>
          </w:p>
        </w:tc>
        <w:tc>
          <w:tcPr>
            <w:tcW w:type="dxa" w:w="3240"/>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Coupling angle, insertion loss, phase drift, attenuation, mode overlap, environment state</w:t>
            </w:r>
          </w:p>
        </w:tc>
        <w:tc>
          <w:tcPr>
            <w:tcW w:type="dxa" w:w="3240"/>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Represent all dominant optical non-idealities with independently measurable parameters and uncertainty bounds.</w:t>
            </w:r>
          </w:p>
        </w:tc>
      </w:tr>
      <w:tr>
        <w:trPr>
          <w:cantSplit/>
        </w:trPr>
        <w:tc>
          <w:tcPr>
            <w:tcW w:type="dxa" w:w="1512"/>
            <w:shd w:fill="FAFAFB"/>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B9–B11</w:t>
            </w:r>
          </w:p>
        </w:tc>
        <w:tc>
          <w:tcPr>
            <w:tcW w:type="dxa" w:w="1944"/>
            <w:shd w:fill="FAFAFB"/>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Measurement and noise model</w:t>
            </w:r>
          </w:p>
        </w:tc>
        <w:tc>
          <w:tcPr>
            <w:tcW w:type="dxa" w:w="3240"/>
            <w:shd w:fill="FAFAFB"/>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POVM elements, detector efficiency, dark counts, dead time, T1/T2, SPAM errors</w:t>
            </w:r>
          </w:p>
        </w:tc>
        <w:tc>
          <w:tcPr>
            <w:tcW w:type="dxa" w:w="3240"/>
            <w:shd w:fill="FAFAFB"/>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Report conditional and unconditional performance without post-selection bias and with a complete detector/noise model.</w:t>
            </w:r>
          </w:p>
        </w:tc>
      </w:tr>
      <w:tr>
        <w:trPr>
          <w:cantSplit/>
        </w:trPr>
        <w:tc>
          <w:tcPr>
            <w:tcW w:type="dxa" w:w="1512"/>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B12</w:t>
            </w:r>
          </w:p>
        </w:tc>
        <w:tc>
          <w:tcPr>
            <w:tcW w:type="dxa" w:w="1944"/>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Classical supporting optics only</w:t>
            </w:r>
          </w:p>
        </w:tc>
        <w:tc>
          <w:tcPr>
            <w:tcW w:type="dxa" w:w="3240"/>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Pr>
                <w:rFonts w:ascii="Aptos" w:hAnsi="Aptos" w:eastAsia="Aptos" w:cs="Aptos"/>
                <w:sz w:val="16"/>
              </w:rPr>
              <w:t>Wavefront basis, actuator response, residual phase, latency, bandwidth, optical loss</w:t>
            </w:r>
          </w:p>
        </w:tc>
        <w:tc>
          <w:tcPr>
            <w:tcW w:type="dxa" w:w="3240"/>
            <w:tcMar>
              <w:top w:w="90" w:type="dxa"/>
              <w:left w:w="125" w:type="dxa"/>
              <w:bottom w:w="90" w:type="dxa"/>
              <w:right w:w="125" w:type="dxa"/>
              <w:start w:w="105" w:type="dxa"/>
              <w:end w:w="105" w:type="dxa"/>
            </w:tcMar>
            <w:tcBorders>
              <w:top w:val="single" w:sz="4" w:color="D9DDE3"/>
              <w:bottom w:val="single" w:sz="4" w:color="D9DDE3"/>
              <w:left w:val="single" w:sz="4" w:color="D9DDE3"/>
              <w:right w:val="single" w:sz="4" w:color="D9DDE3"/>
            </w:tcBorders>
            <w:vAlign w:val="center"/>
          </w:tcPr>
          <w:p>
            <w:pPr>
              <w:widowControl/>
              <w:spacing w:after="90" w:line="259" w:lineRule="auto"/>
            </w:pPr>
            <w:r/>
            <w:r>
              <w:t>Justify adaptive optics through a quantified link improvement that exceeds its added loss, latency, and control complexity.</w:t>
            </w:r>
          </w:p>
        </w:tc>
      </w:tr>
    </w:tbl>
    <w:p>
      <w:pPr>
        <w:widowControl/>
        <w:spacing w:after="80" w:line="20" w:lineRule="exact"/>
      </w:pPr>
      <w:r>
        <w:rPr>
          <w:sz w:val="2"/>
        </w:rPr>
      </w:r>
    </w:p>
    <w:p>
      <w:pPr>
        <w:pStyle w:val="Heading1"/>
        <w:keepNext/>
        <w:keepLines/>
        <w:pageBreakBefore w:val="0"/>
        <w:widowControl/>
      </w:pPr>
      <w:r>
        <w:rPr>
          <w:rFonts w:ascii="Aptos Display" w:hAnsi="Aptos Display" w:eastAsia="Aptos Display" w:cs="Aptos Display"/>
        </w:rPr>
        <w:t>References</w:t>
      </w:r>
    </w:p>
    <w:p>
      <w:pPr>
        <w:keepNext/>
        <w:widowControl/>
        <w:spacing w:after="180" w:line="276" w:lineRule="auto"/>
        <w:ind w:hanging="317" w:left="317"/>
      </w:pPr>
      <w:r>
        <w:rPr>
          <w:b w:val="0"/>
          <w:i w:val="0"/>
        </w:rPr>
        <w:t>Equation-source note: Equation 1 and the ideal protocol benchmark follow Ref. [1]. Equations B1–B4, B9, and B11 use standard notation consistent with Ref. [10]; Equation B3 follows Refs. [6, 10]; Equation B5 uses the Jaynes–Cummings reference model [11]; Equations B6, B8, and B10 follow standard quantum-optics models [12]; and Equation B12 uses a standard adaptive-optics surface expansion [13]. Every engineering model still requires platform-specific parameters and validation.</w:t>
      </w:r>
    </w:p>
    <w:p>
      <w:pPr>
        <w:keepLines w:val="0"/>
        <w:widowControl/>
        <w:spacing w:after="120" w:line="276" w:lineRule="auto"/>
        <w:ind w:left="317" w:hanging="317"/>
      </w:pPr>
      <w:r>
        <w:rPr>
          <w:b w:val="0"/>
          <w:i w:val="0"/>
        </w:rPr>
        <w:t>[1] M. Uria, C. Hermann-Avigliano, P. Solano, and A. Delgado, “Alice and Bob through a quantum mirror,” arXiv:2603.18371v1 [quant-ph] (2026).</w:t>
      </w:r>
    </w:p>
    <w:p>
      <w:pPr>
        <w:keepLines w:val="0"/>
        <w:widowControl/>
        <w:spacing w:after="120" w:line="276" w:lineRule="auto"/>
        <w:ind w:left="317" w:hanging="317"/>
      </w:pPr>
      <w:r>
        <w:rPr>
          <w:b w:val="0"/>
          <w:i w:val="0"/>
        </w:rPr>
        <w:t>[2] R. Bekenstein, I. Pikovski, H. Pichler, E. Shahmoon, S. F. Yelin, and M. D. Lukin, “Quantum metasurfaces with atom arrays,” Nature Physics 16, 676–681 (2020). doi:10.1038/s41567-020-0845-5.</w:t>
      </w:r>
    </w:p>
    <w:p>
      <w:pPr>
        <w:keepLines w:val="0"/>
        <w:widowControl/>
        <w:spacing w:after="120" w:line="276" w:lineRule="auto"/>
        <w:ind w:left="317" w:hanging="317"/>
      </w:pPr>
      <w:r>
        <w:rPr>
          <w:b w:val="0"/>
          <w:i w:val="0"/>
        </w:rPr>
        <w:t>[3] K. Srakaew et al., “A subwavelength atomic array switched by a single Rydberg atom,” Nature Physics 19, 714–719 (2023). doi:10.1038/s41567-023-01959-y.</w:t>
      </w:r>
    </w:p>
    <w:p>
      <w:pPr>
        <w:keepLines w:val="0"/>
        <w:widowControl/>
        <w:spacing w:after="120" w:line="276" w:lineRule="auto"/>
        <w:ind w:left="317" w:hanging="317"/>
      </w:pPr>
      <w:r>
        <w:rPr>
          <w:b w:val="0"/>
          <w:i w:val="0"/>
        </w:rPr>
        <w:t>[4] K. Azuma et al., “Quantum repeaters: From quantum networks to the quantum internet,” Reviews of Modern Physics 95, 045006 (2023). doi:10.1103/RevModPhys.95.045006.</w:t>
      </w:r>
    </w:p>
    <w:p>
      <w:pPr>
        <w:keepLines w:val="0"/>
        <w:widowControl/>
        <w:spacing w:after="120" w:line="276" w:lineRule="auto"/>
        <w:ind w:left="317" w:hanging="317"/>
      </w:pPr>
      <w:r>
        <w:rPr>
          <w:b w:val="0"/>
          <w:i w:val="0"/>
        </w:rPr>
        <w:t>[5] S. Wehner, D. Elkouss, and R. Hanson, “Quantum internet: A vision for the road ahead,” Science 362, eaam9288 (2018). doi:10.1126/science.aam9288.</w:t>
      </w:r>
    </w:p>
    <w:p>
      <w:pPr>
        <w:keepLines w:val="0"/>
        <w:widowControl/>
        <w:spacing w:after="120" w:line="276" w:lineRule="auto"/>
        <w:ind w:left="317" w:hanging="317"/>
      </w:pPr>
      <w:r>
        <w:rPr>
          <w:b w:val="0"/>
          <w:i w:val="0"/>
        </w:rPr>
        <w:t>[6] C. H. Bennett et al., “Teleporting an unknown quantum state via dual classical and Einstein–Podolsky–Rosen channels,” Physical Review Letters 70, 1895–1899 (1993). doi:10.1103/PhysRevLett.70.1895.</w:t>
      </w:r>
    </w:p>
    <w:p>
      <w:pPr>
        <w:keepLines w:val="0"/>
        <w:widowControl/>
        <w:spacing w:after="120" w:line="276" w:lineRule="auto"/>
        <w:ind w:left="317" w:hanging="317"/>
      </w:pPr>
      <w:r>
        <w:rPr>
          <w:b w:val="0"/>
          <w:i w:val="0"/>
        </w:rPr>
        <w:t>[7] M. Uria, A. Moya, C. Hermann-Avigliano, P. Solano, and A. Delgado, “Continuous-variable quantum-state tomography enabled by quantum mirrors,” arXiv:2606.04277v1 [quant-ph] (2026).</w:t>
      </w:r>
    </w:p>
    <w:p>
      <w:pPr>
        <w:keepLines w:val="0"/>
        <w:widowControl/>
        <w:spacing w:after="120" w:line="276" w:lineRule="auto"/>
        <w:ind w:left="317" w:hanging="317"/>
      </w:pPr>
      <w:r>
        <w:rPr>
          <w:b w:val="0"/>
          <w:i w:val="0"/>
        </w:rPr>
        <w:t>[8] J.-G. Ren et al., “Ground-to-satellite quantum teleportation,” Nature 549, 70–73 (2017). doi:10.1038/nature23675.</w:t>
      </w:r>
    </w:p>
    <w:p>
      <w:pPr>
        <w:keepLines w:val="0"/>
        <w:widowControl/>
        <w:spacing w:after="120" w:line="276" w:lineRule="auto"/>
        <w:ind w:left="317" w:hanging="317"/>
      </w:pPr>
      <w:r>
        <w:rPr>
          <w:b w:val="0"/>
          <w:i w:val="0"/>
        </w:rPr>
        <w:t>[9] M. Petrovich et al., “Broadband optical fibre with an attenuation lower than 0.1 decibel per kilometre,” Nature Photonics 19, 1203–1208 (2025). doi:10.1038/s41566-025-01747-5.</w:t>
      </w:r>
    </w:p>
    <w:p>
      <w:pPr>
        <w:keepLines w:val="0"/>
        <w:widowControl/>
        <w:spacing w:after="120" w:line="276" w:lineRule="auto"/>
        <w:ind w:left="317" w:hanging="317"/>
      </w:pPr>
      <w:r>
        <w:rPr>
          <w:b w:val="0"/>
          <w:i w:val="0"/>
        </w:rPr>
        <w:t>[10] M. A. Nielsen and I. L. Chuang, Quantum Computation and Quantum Information, 10th Anniversary Edition (Cambridge University Press, 2010).</w:t>
      </w:r>
    </w:p>
    <w:p>
      <w:pPr>
        <w:widowControl/>
        <w:spacing w:after="120"/>
        <w:ind w:hanging="317" w:left="317"/>
      </w:pPr>
      <w:r>
        <w:t>[11] E. T. Jaynes and F. W. Cummings, “Comparison of quantum and semiclassical radiation theories with application to the beam maser,” Proceedings of the IEEE 51, 89–109 (1963). doi:10.1109/PROC.1963.1664.</w:t>
      </w:r>
    </w:p>
    <w:p>
      <w:pPr>
        <w:widowControl/>
        <w:spacing w:after="120"/>
        <w:ind w:hanging="317" w:left="317"/>
      </w:pPr>
      <w:r>
        <w:t>[12] C. W. Gardiner and P. Zoller, Quantum Noise, 3rd ed. (Springer, 2004).</w:t>
      </w:r>
    </w:p>
    <w:p>
      <w:pPr>
        <w:widowControl/>
        <w:spacing w:after="120"/>
        <w:ind w:hanging="317" w:left="317"/>
      </w:pPr>
      <w:r>
        <w:t>[13] R. K. Tyson, Principles of Adaptive Optics, 4th ed. (CRC Press, 2015).</w:t>
      </w:r>
    </w:p>
    <w:p>
      <w:pPr>
        <w:widowControl/>
        <w:spacing w:after="120"/>
        <w:ind w:hanging="317" w:left="317"/>
      </w:pPr>
      <w:r>
        <w:t>[14] IBM Quantum Documentation, “Qiskit Runtime REST API,” API version 2026-04-15 (2026), https://quantum.cloud.ibm.com/docs/en/api/qiskit-runtime-rest.</w:t>
      </w:r>
    </w:p>
    <w:p>
      <w:pPr>
        <w:widowControl/>
        <w:spacing w:after="120"/>
        <w:ind w:hanging="317" w:left="317"/>
      </w:pPr>
      <w:r>
        <w:t>[15] IBM Quantum Documentation, “Introduction to primitives” and “Introduction to Qiskit Runtime execution modes” (2026), https://quantum.cloud.ibm.com/docs/en/guides/qiskit-runtime-primitives.</w:t>
      </w:r>
    </w:p>
    <w:p>
      <w:pPr>
        <w:widowControl/>
        <w:spacing w:after="120"/>
        <w:ind w:hanging="317" w:left="317"/>
      </w:pPr>
      <w:r>
        <w:t>[16] NASA Space Technology Research Grants, “Moonbeam—Beamed Lunar Power,” updated 22 June 2026, https://www.nasa.gov/directorates/stmd/space-tech-research-grants/moonbeam-beamed-lunar-power/.</w:t>
      </w:r>
    </w:p>
    <w:p>
      <w:pPr>
        <w:widowControl/>
        <w:spacing w:after="120"/>
        <w:ind w:hanging="317" w:left="317"/>
      </w:pPr>
      <w:r>
        <w:t>[17] NASA TechPort Project 118529, “High Efficiency Laser Power Beaming Receivers for Lunar and Extraterrestrial Exploration,” updated 6 May 2026, https://techport.nasa.gov/projects/118529.</w:t>
      </w:r>
    </w:p>
    <w:p>
      <w:pPr>
        <w:widowControl/>
        <w:spacing w:after="120"/>
        <w:ind w:hanging="317" w:left="317"/>
      </w:pPr>
      <w:r>
        <w:t>[18] W. A. Ruperto Hernandez et al., “Orbital Power Beaming to Provide Increased Mobility, Flexibility, and Science Measurements on the Lunar Surface,” NASA NTRS 20250003718 (2025).</w:t>
      </w:r>
    </w:p>
    <w:sectPr w:rsidR="00FC693F" w:rsidRPr="0006063C" w:rsidSect="00034616">
      <w:headerReference w:type="default" r:id="rId9"/>
      <w:footerReference w:type="default" r:id="rId10"/>
      <w:headerReference w:type="first" r:id="rId31"/>
      <w:footerReference w:type="first" r:id="rId32"/>
      <w:footerReference w:type="even" r:id="rId45"/>
      <w:pgSz w:w="12240" w:h="15840"/>
      <w:pgMar w:top="1152" w:right="1123" w:bottom="1037" w:left="1123"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10008" w:val="left"/>
      </w:tabs>
      <w:spacing w:before="0" w:after="0" w:line="240" w:lineRule="auto"/>
      <w:jc w:val="left"/>
    </w:pPr>
    <w:r>
      <w:t>Qalice Quantum-Mirror Whitepaper  |  24 July 2026</w:t>
    </w:r>
    <w:r>
      <w:tab/>
      <w:t xml:space="preserve">Page </w:t>
    </w:r>
    <w:r>
      <w:fldChar w:fldCharType="begin"/>
      <w:instrText xml:space="preserve">PAGE</w:instrTex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0" w:line="240" w:lineRule="auto"/>
    </w:pPr>
  </w:p>
  <w:tbl>
    <w:tblPr>
      <w:tblW w:type="auto" w:w="0"/>
      <w:tblLayout w:type="fixed"/>
      <w:tblLook w:firstColumn="1" w:firstRow="1" w:lastColumn="0" w:lastRow="0" w:noHBand="0" w:noVBand="1" w:val="04A0"/>
    </w:tblPr>
    <w:tblGrid>
      <w:gridCol w:w="605"/>
      <w:gridCol w:w="9562"/>
    </w:tblGrid>
    <w:tr>
      <w:trPr>
        <w:cantSplit/>
        <w:tblHeader/>
      </w:trPr>
      <w:tc>
        <w:tcPr>
          <w:tcW w:type="dxa" w:w="5083"/>
          <w:tcMar>
            <w:top w:w="0" w:type="dxa"/>
            <w:bottom w:w="0" w:type="dxa"/>
            <w:left w:w="0" w:type="dxa"/>
            <w:right w:w="0" w:type="dxa"/>
          </w:tcMar>
          <w:tcBorders>
            <w:bottom w:val="single" w:sz="6" w:color="F36C21"/>
          </w:tcBorders>
        </w:tcPr>
        <w:p>
          <w:pPr>
            <w:spacing w:before="0" w:after="0" w:line="240" w:lineRule="auto"/>
            <w:jc w:val="left"/>
          </w:pPr>
          <w:r>
            <w:drawing>
              <wp:inline xmlns:a="http://schemas.openxmlformats.org/drawingml/2006/main" xmlns:pic="http://schemas.openxmlformats.org/drawingml/2006/picture">
                <wp:extent cx="274320" cy="274320"/>
                <wp:docPr id="1" name="Picture 1" title="Qalice logo" descr="Qalice fox logo with a stylized quantum-mirror motif."/>
                <wp:cNvGraphicFramePr>
                  <a:graphicFrameLocks noChangeAspect="1"/>
                </wp:cNvGraphicFramePr>
                <a:graphic>
                  <a:graphicData uri="http://schemas.openxmlformats.org/drawingml/2006/picture">
                    <pic:pic>
                      <pic:nvPicPr>
                        <pic:cNvPr id="0" name="image14.png"/>
                        <pic:cNvPicPr/>
                      </pic:nvPicPr>
                      <pic:blipFill>
                        <a:blip r:embed="rId1"/>
                        <a:stretch>
                          <a:fillRect/>
                        </a:stretch>
                      </pic:blipFill>
                      <pic:spPr>
                        <a:xfrm>
                          <a:off x="0" y="0"/>
                          <a:ext cx="274320" cy="274320"/>
                        </a:xfrm>
                        <a:prstGeom prst="rect"/>
                      </pic:spPr>
                    </pic:pic>
                  </a:graphicData>
                </a:graphic>
              </wp:inline>
            </w:drawing>
          </w:r>
        </w:p>
      </w:tc>
      <w:tc>
        <w:tcPr>
          <w:tcW w:type="dxa" w:w="5083"/>
          <w:tcMar>
            <w:top w:w="0" w:type="dxa"/>
            <w:bottom w:w="0" w:type="dxa"/>
            <w:left w:w="0" w:type="dxa"/>
            <w:right w:w="0" w:type="dxa"/>
          </w:tcMar>
          <w:tcBorders>
            <w:bottom w:val="single" w:sz="6" w:color="F36C21"/>
          </w:tcBorders>
        </w:tcPr>
        <w:p>
          <w:pPr>
            <w:spacing w:before="0" w:after="0" w:line="240" w:lineRule="auto"/>
            <w:jc w:val="right"/>
          </w:pPr>
          <w:r>
            <w:rPr>
              <w:rFonts w:ascii="Aptos" w:hAnsi="Aptos" w:eastAsia="Aptos"/>
              <w:b/>
              <w:color w:val="555555"/>
              <w:sz w:val="16"/>
            </w:rPr>
            <w:t>Qalice  |  Quantum-Mirror Network Architecture</w:t>
          </w:r>
        </w:p>
      </w:tc>
    </w:tr>
  </w:tbl>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70" w:line="278"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20" w:after="200"/>
      <w:outlineLvl w:val="0"/>
    </w:pPr>
    <w:rPr>
      <w:rFonts w:asciiTheme="majorHAnsi" w:eastAsiaTheme="majorEastAsia" w:hAnsiTheme="majorHAnsi" w:cstheme="majorBidi" w:ascii="Aptos Display" w:hAnsi="Aptos Display" w:eastAsia="Aptos Display"/>
      <w:b/>
      <w:bCs/>
      <w:color w:val="F36C21"/>
      <w:sz w:val="35"/>
      <w:szCs w:val="28"/>
    </w:rPr>
  </w:style>
  <w:style w:type="paragraph" w:styleId="Heading2">
    <w:name w:val="heading 2"/>
    <w:basedOn w:val="Normal"/>
    <w:next w:val="Normal"/>
    <w:link w:val="Heading2Char"/>
    <w:uiPriority w:val="9"/>
    <w:unhideWhenUsed/>
    <w:qFormat/>
    <w:rsid w:val="00FC693F"/>
    <w:pPr>
      <w:keepNext/>
      <w:keepLines/>
      <w:spacing w:before="280" w:after="150"/>
      <w:outlineLvl w:val="1"/>
    </w:pPr>
    <w:rPr>
      <w:rFonts w:asciiTheme="majorHAnsi" w:eastAsiaTheme="majorEastAsia" w:hAnsiTheme="majorHAnsi" w:cstheme="majorBidi" w:ascii="Aptos Display" w:hAnsi="Aptos Display" w:eastAsia="Aptos Display"/>
      <w:b/>
      <w:bCs/>
      <w:color w:val="171717"/>
      <w:sz w:val="25"/>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ptos Display" w:hAnsi="Aptos Display" w:eastAsia="Aptos Display"/>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Aptos Display" w:hAnsi="Aptos Display" w:eastAsia="Aptos Display"/>
      <w:b/>
      <w:color w:val="171717"/>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Display" w:hAnsi="Aptos Display" w:eastAsia="Aptos Display"/>
      <w:b w:val="0"/>
      <w:i/>
      <w:iCs/>
      <w:color w:val="555555"/>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widowControl/>
      <w:numPr>
        <w:numId w:val="1"/>
      </w:numPr>
      <w:spacing w:line="269" w:lineRule="auto" w:after="110"/>
      <w:contextualSpacing/>
    </w:pPr>
    <w:rPr>
      <w:rFonts w:ascii="Aptos" w:hAnsi="Aptos" w:eastAsia="Aptos"/>
      <w:sz w:val="20"/>
    </w:rPr>
  </w:style>
  <w:style w:type="paragraph" w:styleId="ListBullet2">
    <w:name w:val="List Bullet 2"/>
    <w:basedOn w:val="Normal"/>
    <w:uiPriority w:val="99"/>
    <w:unhideWhenUsed/>
    <w:rsid w:val="00326F90"/>
    <w:pPr>
      <w:numPr>
        <w:numId w:val="2"/>
      </w:numPr>
      <w:spacing w:line="264" w:lineRule="auto" w:after="90"/>
      <w:contextualSpacing/>
    </w:pPr>
    <w:rPr>
      <w:rFonts w:ascii="Aptos" w:hAnsi="Aptos" w:eastAsia="Aptos"/>
      <w:sz w:val="21"/>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widowControl/>
      <w:numPr>
        <w:numId w:val="5"/>
      </w:numPr>
      <w:spacing w:line="269" w:lineRule="auto" w:after="110"/>
      <w:contextualSpacing/>
    </w:pPr>
    <w:rPr>
      <w:rFonts w:ascii="Aptos" w:hAnsi="Aptos" w:eastAsia="Aptos"/>
      <w:sz w:val="20"/>
    </w:rPr>
  </w:style>
  <w:style w:type="paragraph" w:styleId="ListNumber2">
    <w:name w:val="List Number 2"/>
    <w:basedOn w:val="Normal"/>
    <w:uiPriority w:val="99"/>
    <w:unhideWhenUsed/>
    <w:rsid w:val="0029639D"/>
    <w:pPr>
      <w:numPr>
        <w:numId w:val="6"/>
      </w:numPr>
      <w:spacing w:line="264" w:lineRule="auto" w:after="90"/>
      <w:contextualSpacing/>
    </w:pPr>
    <w:rPr>
      <w:rFonts w:ascii="Aptos" w:hAnsi="Aptos" w:eastAsia="Aptos"/>
      <w:sz w:val="21"/>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aliceCaption">
    <w:name w:val="Qalice Caption"/>
    <w:pPr>
      <w:keepNext w:val="0"/>
      <w:keepLines/>
      <w:spacing w:before="80" w:after="220"/>
      <w:jc w:val="center"/>
    </w:pPr>
    <w:rPr>
      <w:rFonts w:ascii="Aptos" w:hAnsi="Aptos"/>
      <w:i/>
      <w:color w:val="5A5A5A"/>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hyperlink" Target="https://arxiv.org/abs/2603.18371" TargetMode="External"/><Relationship Id="rId13" Type="http://schemas.openxmlformats.org/officeDocument/2006/relationships/hyperlink" Target="https://qalice.com" TargetMode="External"/><Relationship Id="rId14" Type="http://schemas.openxmlformats.org/officeDocument/2006/relationships/hyperlink" Target="https://docs.qalice.com/whitepaper/qalice"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hyperlink" Target="https://buscayvincula.udec.cl/display/n200600001373" TargetMode="External"/><Relationship Id="rId20" Type="http://schemas.openxmlformats.org/officeDocument/2006/relationships/hyperlink" Target="https://fisica.cfm.udec.cl/people/aldo-delgado-hidalgo" TargetMode="External"/><Relationship Id="rId21" Type="http://schemas.openxmlformats.org/officeDocument/2006/relationships/hyperlink" Target="https://portafolio-academico.uchile.cl/perfil/72563-Carla-Andrea-Hermann-Avigliano" TargetMode="External"/><Relationship Id="rId22" Type="http://schemas.openxmlformats.org/officeDocument/2006/relationships/hyperlink" Target="https://doi.org/10.1038/s41567-020-0845-5" TargetMode="External"/><Relationship Id="rId23" Type="http://schemas.openxmlformats.org/officeDocument/2006/relationships/hyperlink" Target="https://doi.org/10.1038/s41567-023-01959-y" TargetMode="External"/><Relationship Id="rId24" Type="http://schemas.openxmlformats.org/officeDocument/2006/relationships/hyperlink" Target="https://doi.org/10.1103/RevModPhys.95.045006" TargetMode="External"/><Relationship Id="rId25" Type="http://schemas.openxmlformats.org/officeDocument/2006/relationships/hyperlink" Target="https://doi.org/10.1126/science.aam9288" TargetMode="External"/><Relationship Id="rId26" Type="http://schemas.openxmlformats.org/officeDocument/2006/relationships/hyperlink" Target="https://doi.org/10.1103/PhysRevLett.70.1895" TargetMode="External"/><Relationship Id="rId27" Type="http://schemas.openxmlformats.org/officeDocument/2006/relationships/hyperlink" Target="https://arxiv.org/abs/2606.04277" TargetMode="External"/><Relationship Id="rId28" Type="http://schemas.openxmlformats.org/officeDocument/2006/relationships/hyperlink" Target="https://doi.org/10.1038/nature23675" TargetMode="External"/><Relationship Id="rId29" Type="http://schemas.openxmlformats.org/officeDocument/2006/relationships/hyperlink" Target="https://doi.org/10.1038/s41566-025-01747-5" TargetMode="External"/><Relationship Id="rId30" Type="http://schemas.openxmlformats.org/officeDocument/2006/relationships/hyperlink" Target="https://doi.org/10.1017/CBO9780511976667" TargetMode="External"/><Relationship Id="rId31" Type="http://schemas.openxmlformats.org/officeDocument/2006/relationships/header" Target="header2.xml"/><Relationship Id="rId32" Type="http://schemas.openxmlformats.org/officeDocument/2006/relationships/footer" Target="footer2.xml"/><Relationship Id="rId33" Type="http://schemas.openxmlformats.org/officeDocument/2006/relationships/image" Target="media/image6.png"/><Relationship Id="rId34" Type="http://schemas.openxmlformats.org/officeDocument/2006/relationships/image" Target="media/image7.png"/><Relationship Id="rId35" Type="http://schemas.openxmlformats.org/officeDocument/2006/relationships/image" Target="media/image8.png"/><Relationship Id="rId36" Type="http://schemas.openxmlformats.org/officeDocument/2006/relationships/image" Target="media/image9.png"/><Relationship Id="rId37" Type="http://schemas.openxmlformats.org/officeDocument/2006/relationships/image" Target="media/image10.png"/><Relationship Id="rId38" Type="http://schemas.openxmlformats.org/officeDocument/2006/relationships/image" Target="media/image11.png"/><Relationship Id="rId39" Type="http://schemas.openxmlformats.org/officeDocument/2006/relationships/image" Target="media/image12.png"/><Relationship Id="rId40" Type="http://schemas.openxmlformats.org/officeDocument/2006/relationships/image" Target="media/image13.png"/><Relationship Id="rId41" Type="http://schemas.openxmlformats.org/officeDocument/2006/relationships/image" Target="media/image14.png"/><Relationship Id="rId42" Type="http://schemas.openxmlformats.org/officeDocument/2006/relationships/image" Target="media/image15.png"/><Relationship Id="rId43" Type="http://schemas.openxmlformats.org/officeDocument/2006/relationships/image" Target="media/image16.png"/><Relationship Id="rId44" Type="http://schemas.openxmlformats.org/officeDocument/2006/relationships/image" Target="media/image17.png"/><Relationship Id="rId4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Qalice Quantum-Mirror Network Architecture</dc:title>
  <dc:subject>Technical whitepaper on quantum-mirror network architecture, control, modeling, and validation</dc:subject>
  <dc:creator>Keaton McCune</dc:creator>
  <cp:keywords>Qalice, quantum mirror, quantum metasurface, quantum network, quantum teleportation, photonics</cp:keywords>
  <dc:description>Professionally proofread technical whitepaper.</dc:description>
  <cp:lastModifiedBy/>
  <cp:revision>1</cp:revision>
  <dcterms:created xsi:type="dcterms:W3CDTF">2013-12-23T23:15:00Z</dcterms:created>
  <dcterms:modified xsi:type="dcterms:W3CDTF">2013-12-23T23:15:00Z</dcterms:modified>
  <cp:category/>
</cp:coreProperties>
</file>